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0A26F534" w14:textId="77777777" w:rsidR="000D093E" w:rsidRDefault="000D093E" w:rsidP="000D093E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#109-e-bis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>
        <w:rPr>
          <w:rFonts w:ascii="Arial" w:hAnsi="Arial" w:cs="Arial"/>
          <w:b/>
          <w:bCs/>
          <w:color w:val="000000"/>
          <w:sz w:val="26"/>
          <w:szCs w:val="26"/>
        </w:rPr>
        <w:t>2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</w:t>
      </w:r>
      <w:r>
        <w:rPr>
          <w:rFonts w:ascii="Arial" w:hAnsi="Arial" w:cs="Arial"/>
          <w:b/>
          <w:bCs/>
          <w:color w:val="000000"/>
          <w:sz w:val="26"/>
          <w:szCs w:val="26"/>
        </w:rPr>
        <w:t>2002647</w:t>
      </w:r>
    </w:p>
    <w:p w14:paraId="1399892F" w14:textId="77777777" w:rsidR="000D093E" w:rsidRDefault="000D093E" w:rsidP="000D093E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E-meeting, Apr 20</w:t>
      </w:r>
      <w:r w:rsidRPr="00692765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Apr 30</w:t>
      </w:r>
      <w:r w:rsidRPr="00CD3C8C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>
        <w:rPr>
          <w:rFonts w:ascii="Arial" w:hAnsi="Arial"/>
          <w:b/>
          <w:sz w:val="24"/>
          <w:szCs w:val="24"/>
          <w:lang w:eastAsia="zh-CN"/>
        </w:rPr>
        <w:t>,</w:t>
      </w:r>
      <w:r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>
        <w:rPr>
          <w:rFonts w:ascii="Arial" w:hAnsi="Arial"/>
          <w:b/>
          <w:sz w:val="24"/>
          <w:szCs w:val="24"/>
          <w:lang w:eastAsia="zh-CN"/>
        </w:rPr>
        <w:t>20</w:t>
      </w:r>
      <w:r>
        <w:rPr>
          <w:rFonts w:ascii="Arial" w:hAnsi="Arial"/>
          <w:b/>
          <w:sz w:val="24"/>
          <w:szCs w:val="24"/>
          <w:lang w:eastAsia="zh-CN"/>
        </w:rPr>
        <w:tab/>
      </w:r>
    </w:p>
    <w:p w14:paraId="043099E2" w14:textId="77777777" w:rsidR="000D093E" w:rsidRPr="006D3016" w:rsidRDefault="000D093E" w:rsidP="000D093E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578C235B" w14:textId="77777777" w:rsidR="000D093E" w:rsidRPr="006D3016" w:rsidRDefault="000D093E" w:rsidP="000D093E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6.10.7</w:t>
      </w:r>
    </w:p>
    <w:p w14:paraId="36353300" w14:textId="77777777" w:rsidR="000D093E" w:rsidRDefault="000D093E" w:rsidP="000D093E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31F251C8" w14:textId="77777777" w:rsidR="000D093E" w:rsidRPr="006D3016" w:rsidRDefault="000D093E" w:rsidP="000D093E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Remaining issues in Fast MCG Recovery</w:t>
      </w:r>
    </w:p>
    <w:p w14:paraId="383823C6" w14:textId="77777777" w:rsidR="000D093E" w:rsidRDefault="000D093E" w:rsidP="000D093E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Pr="005829A0">
        <w:rPr>
          <w:rFonts w:ascii="Arial" w:hAnsi="Arial" w:cs="Arial"/>
          <w:b/>
          <w:bCs/>
          <w:sz w:val="24"/>
          <w:szCs w:val="24"/>
        </w:rPr>
        <w:t>LTE_NR_DC_CA_enh-Core</w:t>
      </w:r>
      <w:r>
        <w:rPr>
          <w:rFonts w:ascii="Arial" w:eastAsia="Times New Roman" w:hAnsi="Arial" w:cs="Arial"/>
          <w:b/>
          <w:bCs/>
          <w:sz w:val="24"/>
        </w:rPr>
        <w:t xml:space="preserve"> – Release 16</w:t>
      </w:r>
    </w:p>
    <w:p w14:paraId="5CC12CA8" w14:textId="77777777" w:rsidR="000D093E" w:rsidRPr="006D3016" w:rsidRDefault="000D093E" w:rsidP="000D093E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3CF368AD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bookmarkStart w:id="1" w:name="_GoBack"/>
      <w:bookmarkEnd w:id="1"/>
      <w:r>
        <w:t>Introduction</w:t>
      </w:r>
      <w:r w:rsidR="00E85CB2">
        <w:t xml:space="preserve"> </w:t>
      </w:r>
    </w:p>
    <w:p w14:paraId="2BF9C530" w14:textId="5C5208A2" w:rsidR="00F63D43" w:rsidRDefault="007A365C" w:rsidP="00E85CB2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205B0A2" wp14:editId="1DB0C04C">
                <wp:simplePos x="0" y="0"/>
                <wp:positionH relativeFrom="margin">
                  <wp:align>right</wp:align>
                </wp:positionH>
                <wp:positionV relativeFrom="paragraph">
                  <wp:posOffset>518795</wp:posOffset>
                </wp:positionV>
                <wp:extent cx="5953125" cy="5905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F2FEF9" w14:textId="16D7A31D" w:rsidR="00AA619D" w:rsidRPr="005B3ABB" w:rsidRDefault="00B906FA" w:rsidP="005B3ABB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FFS </w:t>
                            </w:r>
                            <w:r w:rsidR="005B3ABB" w:rsidRPr="005B3ABB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if The MR-DC scenarios illustrated in Table B-1 of TS 37.340 are supported for the fast MCG recovery procedure (i.e., the intention is to not support additional cases than the one illustrated in Table B-1 of TS 37.340).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05B0A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7.55pt;margin-top:40.85pt;width:468.75pt;height:46.5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">
                <v:textbox>
                  <w:txbxContent>
                    <w:p w14:paraId="0BF2FEF9" w14:textId="16D7A31D" w:rsidR="00AA619D" w:rsidRPr="005B3ABB" w:rsidRDefault="00B906FA" w:rsidP="005B3ABB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FFS </w:t>
                      </w:r>
                      <w:r w:rsidR="005B3ABB" w:rsidRPr="005B3ABB">
                        <w:rPr>
                          <w:rFonts w:ascii="Arial" w:hAnsi="Arial" w:cs="Arial"/>
                          <w:b/>
                          <w:bCs/>
                        </w:rPr>
                        <w:t>if The MR-DC scenarios illustrated in Table B-1 of TS 37.340 are supported for the fast MCG recovery procedure (i.e., the intention is to not support additional cases than the one illustrated in Table B-1 of TS 37.340).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40B9C">
        <w:t xml:space="preserve">The topic of Fast MCG recovery in the Rel-16 WI on </w:t>
      </w:r>
      <w:r w:rsidR="00443D17">
        <w:t>MR-DC/CA enhancements is nearing completion</w:t>
      </w:r>
      <w:r w:rsidR="00F63D43">
        <w:t xml:space="preserve"> in RAN2</w:t>
      </w:r>
      <w:r w:rsidR="00EB2349">
        <w:t xml:space="preserve"> </w:t>
      </w:r>
      <w:r w:rsidR="00AE0B36">
        <w:t xml:space="preserve">meeting </w:t>
      </w:r>
      <w:r w:rsidR="00EB2349">
        <w:t>discussions</w:t>
      </w:r>
      <w:r w:rsidR="00443D17">
        <w:t>.</w:t>
      </w:r>
      <w:r w:rsidR="00F63D43">
        <w:t xml:space="preserve"> In this paper we address </w:t>
      </w:r>
      <w:r w:rsidR="005B1143">
        <w:t>the following</w:t>
      </w:r>
      <w:r w:rsidR="005B4652">
        <w:t xml:space="preserve"> issue that was left as an FFS item </w:t>
      </w:r>
      <w:r w:rsidR="00D43973">
        <w:t>in the previous RAN2 #109-e meeting [1].</w:t>
      </w:r>
      <w:r w:rsidR="005B4652">
        <w:t xml:space="preserve">  </w:t>
      </w:r>
    </w:p>
    <w:p w14:paraId="19207CC9" w14:textId="4205764D" w:rsidR="007B20DE" w:rsidRDefault="00A4295F" w:rsidP="00E85CB2">
      <w:r>
        <w:t xml:space="preserve">  </w:t>
      </w:r>
    </w:p>
    <w:p w14:paraId="53D5D5A8" w14:textId="3273F3CD" w:rsidR="00F14C9E" w:rsidRPr="00E41836" w:rsidRDefault="00964432" w:rsidP="00083554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MR-DC handover scenarios </w:t>
      </w:r>
      <w:r w:rsidR="00E65EED">
        <w:t xml:space="preserve">supported for the </w:t>
      </w:r>
      <w:r w:rsidR="00213A8C">
        <w:t>F</w:t>
      </w:r>
      <w:r w:rsidR="00E65EED">
        <w:t>ast MCG</w:t>
      </w:r>
      <w:r w:rsidR="00BB2EA0">
        <w:t xml:space="preserve"> </w:t>
      </w:r>
      <w:bookmarkStart w:id="2" w:name="_Ref535308766"/>
      <w:bookmarkStart w:id="3" w:name="_Ref535492080"/>
      <w:r w:rsidR="00213A8C">
        <w:t>R</w:t>
      </w:r>
      <w:r w:rsidR="00E65EED">
        <w:t>ecovery procedure</w:t>
      </w:r>
      <w:r w:rsidR="00BB2EA0" w:rsidRPr="00B822BA">
        <w:rPr>
          <w:sz w:val="20"/>
        </w:rPr>
        <w:t xml:space="preserve">    </w:t>
      </w:r>
    </w:p>
    <w:p w14:paraId="36391582" w14:textId="4BD089ED" w:rsidR="00C26C1E" w:rsidRDefault="001D7963" w:rsidP="00083554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>Table B-1</w:t>
      </w:r>
      <w:r w:rsidR="00EB2CDE">
        <w:rPr>
          <w:i w:val="0"/>
          <w:color w:val="auto"/>
          <w:sz w:val="20"/>
          <w:szCs w:val="20"/>
          <w:lang w:val="en-US"/>
        </w:rPr>
        <w:t xml:space="preserve">, </w:t>
      </w:r>
      <w:r w:rsidR="00344330">
        <w:rPr>
          <w:i w:val="0"/>
          <w:color w:val="auto"/>
          <w:sz w:val="20"/>
          <w:szCs w:val="20"/>
          <w:lang w:val="en-US"/>
        </w:rPr>
        <w:t>TS 37.340 [2]</w:t>
      </w:r>
      <w:r w:rsidR="00EB2CDE">
        <w:rPr>
          <w:i w:val="0"/>
          <w:color w:val="auto"/>
          <w:sz w:val="20"/>
          <w:szCs w:val="20"/>
          <w:lang w:val="en-US"/>
        </w:rPr>
        <w:t>,</w:t>
      </w:r>
      <w:r w:rsidR="00344330">
        <w:rPr>
          <w:i w:val="0"/>
          <w:color w:val="auto"/>
          <w:sz w:val="20"/>
          <w:szCs w:val="20"/>
          <w:lang w:val="en-US"/>
        </w:rPr>
        <w:t xml:space="preserve"> </w:t>
      </w:r>
      <w:r w:rsidR="009C45FD">
        <w:rPr>
          <w:i w:val="0"/>
          <w:color w:val="auto"/>
          <w:sz w:val="20"/>
          <w:szCs w:val="20"/>
          <w:lang w:val="en-US"/>
        </w:rPr>
        <w:t>shown</w:t>
      </w:r>
      <w:r w:rsidR="00FD21D0">
        <w:rPr>
          <w:i w:val="0"/>
          <w:color w:val="auto"/>
          <w:sz w:val="20"/>
          <w:szCs w:val="20"/>
          <w:lang w:val="en-US"/>
        </w:rPr>
        <w:t xml:space="preserve"> below </w:t>
      </w:r>
      <w:r w:rsidR="00344330">
        <w:rPr>
          <w:i w:val="0"/>
          <w:color w:val="auto"/>
          <w:sz w:val="20"/>
          <w:szCs w:val="20"/>
          <w:lang w:val="en-US"/>
        </w:rPr>
        <w:t xml:space="preserve">provides </w:t>
      </w:r>
      <w:r w:rsidR="00AD2759">
        <w:rPr>
          <w:i w:val="0"/>
          <w:color w:val="auto"/>
          <w:sz w:val="20"/>
          <w:szCs w:val="20"/>
          <w:lang w:val="en-US"/>
        </w:rPr>
        <w:t>the supported handover scenarios involving MR-DC configurations</w:t>
      </w:r>
      <w:r w:rsidR="001533AD">
        <w:rPr>
          <w:i w:val="0"/>
          <w:color w:val="auto"/>
          <w:sz w:val="20"/>
          <w:szCs w:val="20"/>
          <w:lang w:val="en-US"/>
        </w:rPr>
        <w:t xml:space="preserve"> in Rel-16</w:t>
      </w:r>
      <w:r w:rsidR="0067280A">
        <w:rPr>
          <w:i w:val="0"/>
          <w:color w:val="auto"/>
          <w:sz w:val="20"/>
          <w:szCs w:val="20"/>
          <w:lang w:val="en-US"/>
        </w:rPr>
        <w:t xml:space="preserve">. </w:t>
      </w:r>
      <w:r w:rsidR="00671CBE">
        <w:rPr>
          <w:i w:val="0"/>
          <w:color w:val="auto"/>
          <w:sz w:val="20"/>
          <w:szCs w:val="20"/>
          <w:lang w:val="en-US"/>
        </w:rPr>
        <w:t xml:space="preserve">This </w:t>
      </w:r>
      <w:r w:rsidR="00714A27">
        <w:rPr>
          <w:i w:val="0"/>
          <w:color w:val="auto"/>
          <w:sz w:val="20"/>
          <w:szCs w:val="20"/>
          <w:lang w:val="en-US"/>
        </w:rPr>
        <w:t>mean</w:t>
      </w:r>
      <w:r w:rsidR="00671CBE">
        <w:rPr>
          <w:i w:val="0"/>
          <w:color w:val="auto"/>
          <w:sz w:val="20"/>
          <w:szCs w:val="20"/>
          <w:lang w:val="en-US"/>
        </w:rPr>
        <w:t>s that</w:t>
      </w:r>
      <w:r w:rsidR="004E38A1">
        <w:rPr>
          <w:i w:val="0"/>
          <w:color w:val="auto"/>
          <w:sz w:val="20"/>
          <w:szCs w:val="20"/>
          <w:lang w:val="en-US"/>
        </w:rPr>
        <w:t xml:space="preserve"> </w:t>
      </w:r>
      <w:r w:rsidR="00671CBE">
        <w:rPr>
          <w:i w:val="0"/>
          <w:color w:val="auto"/>
          <w:sz w:val="20"/>
          <w:szCs w:val="20"/>
          <w:lang w:val="en-US"/>
        </w:rPr>
        <w:t xml:space="preserve">the indicated scenarios </w:t>
      </w:r>
      <w:r w:rsidR="00C0643B">
        <w:rPr>
          <w:i w:val="0"/>
          <w:color w:val="auto"/>
          <w:sz w:val="20"/>
          <w:szCs w:val="20"/>
          <w:lang w:val="en-US"/>
        </w:rPr>
        <w:t xml:space="preserve">in the table have been agreed to be supported by </w:t>
      </w:r>
      <w:r w:rsidR="00A30DBD">
        <w:rPr>
          <w:i w:val="0"/>
          <w:color w:val="auto"/>
          <w:sz w:val="20"/>
          <w:szCs w:val="20"/>
          <w:lang w:val="en-US"/>
        </w:rPr>
        <w:t xml:space="preserve">the </w:t>
      </w:r>
      <w:r w:rsidR="00BA3E7C">
        <w:rPr>
          <w:i w:val="0"/>
          <w:color w:val="auto"/>
          <w:sz w:val="20"/>
          <w:szCs w:val="20"/>
          <w:lang w:val="en-US"/>
        </w:rPr>
        <w:t>concerned</w:t>
      </w:r>
      <w:r w:rsidR="009643EC">
        <w:rPr>
          <w:i w:val="0"/>
          <w:color w:val="auto"/>
          <w:sz w:val="20"/>
          <w:szCs w:val="20"/>
          <w:lang w:val="en-US"/>
        </w:rPr>
        <w:t xml:space="preserve"> </w:t>
      </w:r>
      <w:r w:rsidR="001533AD">
        <w:rPr>
          <w:i w:val="0"/>
          <w:color w:val="auto"/>
          <w:sz w:val="20"/>
          <w:szCs w:val="20"/>
          <w:lang w:val="en-US"/>
        </w:rPr>
        <w:t>3GPP WGs</w:t>
      </w:r>
      <w:r w:rsidR="00D94A66">
        <w:rPr>
          <w:i w:val="0"/>
          <w:color w:val="auto"/>
          <w:sz w:val="20"/>
          <w:szCs w:val="20"/>
          <w:lang w:val="en-US"/>
        </w:rPr>
        <w:t xml:space="preserve">, </w:t>
      </w:r>
      <w:r w:rsidR="00101E18">
        <w:rPr>
          <w:i w:val="0"/>
          <w:color w:val="auto"/>
          <w:sz w:val="20"/>
          <w:szCs w:val="20"/>
          <w:lang w:val="en-US"/>
        </w:rPr>
        <w:t>e.g.,</w:t>
      </w:r>
      <w:r w:rsidR="00D94A66">
        <w:rPr>
          <w:i w:val="0"/>
          <w:color w:val="auto"/>
          <w:sz w:val="20"/>
          <w:szCs w:val="20"/>
          <w:lang w:val="en-US"/>
        </w:rPr>
        <w:t xml:space="preserve"> </w:t>
      </w:r>
      <w:r w:rsidR="00C0643B">
        <w:rPr>
          <w:i w:val="0"/>
          <w:color w:val="auto"/>
          <w:sz w:val="20"/>
          <w:szCs w:val="20"/>
          <w:lang w:val="en-US"/>
        </w:rPr>
        <w:t>RAN2</w:t>
      </w:r>
      <w:r w:rsidR="006301B9">
        <w:rPr>
          <w:i w:val="0"/>
          <w:color w:val="auto"/>
          <w:sz w:val="20"/>
          <w:szCs w:val="20"/>
          <w:lang w:val="en-US"/>
        </w:rPr>
        <w:t>,</w:t>
      </w:r>
      <w:r w:rsidR="00C0643B">
        <w:rPr>
          <w:i w:val="0"/>
          <w:color w:val="auto"/>
          <w:sz w:val="20"/>
          <w:szCs w:val="20"/>
          <w:lang w:val="en-US"/>
        </w:rPr>
        <w:t xml:space="preserve"> </w:t>
      </w:r>
      <w:r w:rsidR="00481F8B">
        <w:rPr>
          <w:i w:val="0"/>
          <w:color w:val="auto"/>
          <w:sz w:val="20"/>
          <w:szCs w:val="20"/>
          <w:lang w:val="en-US"/>
        </w:rPr>
        <w:t xml:space="preserve">RAN3, </w:t>
      </w:r>
      <w:r w:rsidR="006301B9">
        <w:rPr>
          <w:i w:val="0"/>
          <w:color w:val="auto"/>
          <w:sz w:val="20"/>
          <w:szCs w:val="20"/>
          <w:lang w:val="en-US"/>
        </w:rPr>
        <w:t>and SA2</w:t>
      </w:r>
      <w:r w:rsidR="00757F33">
        <w:rPr>
          <w:i w:val="0"/>
          <w:color w:val="auto"/>
          <w:sz w:val="20"/>
          <w:szCs w:val="20"/>
          <w:lang w:val="en-US"/>
        </w:rPr>
        <w:t>. The scenarios</w:t>
      </w:r>
      <w:r w:rsidR="006301B9">
        <w:rPr>
          <w:i w:val="0"/>
          <w:color w:val="auto"/>
          <w:sz w:val="20"/>
          <w:szCs w:val="20"/>
          <w:lang w:val="en-US"/>
        </w:rPr>
        <w:t xml:space="preserve"> </w:t>
      </w:r>
      <w:r w:rsidR="00481F8B">
        <w:rPr>
          <w:i w:val="0"/>
          <w:color w:val="auto"/>
          <w:sz w:val="20"/>
          <w:szCs w:val="20"/>
          <w:lang w:val="en-US"/>
        </w:rPr>
        <w:t>includ</w:t>
      </w:r>
      <w:r w:rsidR="00757F33">
        <w:rPr>
          <w:i w:val="0"/>
          <w:color w:val="auto"/>
          <w:sz w:val="20"/>
          <w:szCs w:val="20"/>
          <w:lang w:val="en-US"/>
        </w:rPr>
        <w:t>e</w:t>
      </w:r>
      <w:r w:rsidR="00481F8B">
        <w:rPr>
          <w:i w:val="0"/>
          <w:color w:val="auto"/>
          <w:sz w:val="20"/>
          <w:szCs w:val="20"/>
          <w:lang w:val="en-US"/>
        </w:rPr>
        <w:t xml:space="preserve"> </w:t>
      </w:r>
      <w:r w:rsidR="009A0C5C">
        <w:rPr>
          <w:i w:val="0"/>
          <w:color w:val="auto"/>
          <w:sz w:val="20"/>
          <w:szCs w:val="20"/>
          <w:lang w:val="en-US"/>
        </w:rPr>
        <w:t xml:space="preserve">ones involving </w:t>
      </w:r>
      <w:r w:rsidR="00481F8B">
        <w:rPr>
          <w:i w:val="0"/>
          <w:color w:val="auto"/>
          <w:sz w:val="20"/>
          <w:szCs w:val="20"/>
          <w:lang w:val="en-US"/>
        </w:rPr>
        <w:t xml:space="preserve">inter-system </w:t>
      </w:r>
      <w:r w:rsidR="009A0C5C">
        <w:rPr>
          <w:i w:val="0"/>
          <w:color w:val="auto"/>
          <w:sz w:val="20"/>
          <w:szCs w:val="20"/>
          <w:lang w:val="en-US"/>
        </w:rPr>
        <w:t>handover</w:t>
      </w:r>
      <w:r w:rsidR="00275752">
        <w:rPr>
          <w:i w:val="0"/>
          <w:color w:val="auto"/>
          <w:sz w:val="20"/>
          <w:szCs w:val="20"/>
          <w:lang w:val="en-US"/>
        </w:rPr>
        <w:t xml:space="preserve"> –</w:t>
      </w:r>
      <w:r w:rsidR="00920376">
        <w:rPr>
          <w:i w:val="0"/>
          <w:color w:val="auto"/>
          <w:sz w:val="20"/>
          <w:szCs w:val="20"/>
          <w:lang w:val="en-US"/>
        </w:rPr>
        <w:t xml:space="preserve"> </w:t>
      </w:r>
      <w:r w:rsidR="009A0C5C">
        <w:rPr>
          <w:i w:val="0"/>
          <w:color w:val="auto"/>
          <w:sz w:val="20"/>
          <w:szCs w:val="20"/>
          <w:lang w:val="en-US"/>
        </w:rPr>
        <w:t xml:space="preserve">that is, </w:t>
      </w:r>
      <w:r w:rsidR="004F1DBF">
        <w:rPr>
          <w:i w:val="0"/>
          <w:color w:val="auto"/>
          <w:sz w:val="20"/>
          <w:szCs w:val="20"/>
          <w:lang w:val="en-US"/>
        </w:rPr>
        <w:t xml:space="preserve">5GS to </w:t>
      </w:r>
      <w:r w:rsidR="008B4F6C">
        <w:rPr>
          <w:i w:val="0"/>
          <w:color w:val="auto"/>
          <w:sz w:val="20"/>
          <w:szCs w:val="20"/>
          <w:lang w:val="en-US"/>
        </w:rPr>
        <w:t xml:space="preserve">EPS handover, EPS to 5GS handover, </w:t>
      </w:r>
      <w:r w:rsidR="00AA27D5">
        <w:rPr>
          <w:i w:val="0"/>
          <w:color w:val="auto"/>
          <w:sz w:val="20"/>
          <w:szCs w:val="20"/>
          <w:lang w:val="en-US"/>
        </w:rPr>
        <w:t xml:space="preserve">EPS to </w:t>
      </w:r>
      <w:r w:rsidR="00481AE3">
        <w:rPr>
          <w:i w:val="0"/>
          <w:color w:val="auto"/>
          <w:sz w:val="20"/>
          <w:szCs w:val="20"/>
          <w:lang w:val="en-US"/>
        </w:rPr>
        <w:t xml:space="preserve">GERAN or </w:t>
      </w:r>
      <w:r w:rsidR="006301B9">
        <w:rPr>
          <w:i w:val="0"/>
          <w:color w:val="auto"/>
          <w:sz w:val="20"/>
          <w:szCs w:val="20"/>
          <w:lang w:val="en-US"/>
        </w:rPr>
        <w:t>UTRAN handover</w:t>
      </w:r>
      <w:r w:rsidR="00B83117">
        <w:rPr>
          <w:i w:val="0"/>
          <w:color w:val="auto"/>
          <w:sz w:val="20"/>
          <w:szCs w:val="20"/>
          <w:lang w:val="en-US"/>
        </w:rPr>
        <w:t>, and GERAN or UTRAN</w:t>
      </w:r>
      <w:r w:rsidR="00183B88">
        <w:rPr>
          <w:i w:val="0"/>
          <w:color w:val="auto"/>
          <w:sz w:val="20"/>
          <w:szCs w:val="20"/>
          <w:lang w:val="en-US"/>
        </w:rPr>
        <w:t xml:space="preserve"> to EPS handover</w:t>
      </w:r>
      <w:r w:rsidR="009A0C5C">
        <w:rPr>
          <w:i w:val="0"/>
          <w:color w:val="auto"/>
          <w:sz w:val="20"/>
          <w:szCs w:val="20"/>
          <w:lang w:val="en-US"/>
        </w:rPr>
        <w:t>.</w:t>
      </w:r>
      <w:r w:rsidR="00D94A66">
        <w:rPr>
          <w:i w:val="0"/>
          <w:color w:val="auto"/>
          <w:sz w:val="20"/>
          <w:szCs w:val="20"/>
          <w:lang w:val="en-US"/>
        </w:rPr>
        <w:t xml:space="preserve"> </w:t>
      </w:r>
    </w:p>
    <w:p w14:paraId="1A481BE5" w14:textId="7092A7C4" w:rsidR="00DB6C0B" w:rsidRPr="00DB6C0B" w:rsidRDefault="00DB6C0B" w:rsidP="00DB6C0B">
      <w:pPr>
        <w:rPr>
          <w:lang w:val="en-US"/>
        </w:rPr>
      </w:pPr>
      <w:r w:rsidRPr="00910736">
        <w:rPr>
          <w:b/>
          <w:bCs/>
          <w:iCs/>
          <w:lang w:val="en-US"/>
        </w:rPr>
        <w:t>Observation</w:t>
      </w:r>
      <w:r w:rsidR="00E522DF">
        <w:rPr>
          <w:b/>
          <w:bCs/>
          <w:iCs/>
          <w:lang w:val="en-US"/>
        </w:rPr>
        <w:t xml:space="preserve"> 1</w:t>
      </w:r>
      <w:r w:rsidRPr="00910736">
        <w:rPr>
          <w:b/>
          <w:bCs/>
          <w:iCs/>
          <w:lang w:val="en-US"/>
        </w:rPr>
        <w:t>. Table B-1</w:t>
      </w:r>
      <w:r>
        <w:rPr>
          <w:b/>
          <w:bCs/>
          <w:iCs/>
          <w:lang w:val="en-US"/>
        </w:rPr>
        <w:t xml:space="preserve">, </w:t>
      </w:r>
      <w:r w:rsidRPr="00910736">
        <w:rPr>
          <w:b/>
          <w:bCs/>
          <w:iCs/>
          <w:lang w:val="en-US"/>
        </w:rPr>
        <w:t>TS 37.340</w:t>
      </w:r>
      <w:r>
        <w:rPr>
          <w:b/>
          <w:bCs/>
          <w:iCs/>
          <w:lang w:val="en-US"/>
        </w:rPr>
        <w:t>,</w:t>
      </w:r>
      <w:r w:rsidRPr="00910736">
        <w:rPr>
          <w:b/>
          <w:bCs/>
          <w:iCs/>
          <w:lang w:val="en-US"/>
        </w:rPr>
        <w:t xml:space="preserve"> provides the supported handover scenarios involving MR-DC configurations in Rel-16, which means that these scenarios have been agreed to be supported by the </w:t>
      </w:r>
      <w:r>
        <w:rPr>
          <w:b/>
          <w:bCs/>
          <w:iCs/>
          <w:lang w:val="en-US"/>
        </w:rPr>
        <w:t xml:space="preserve">concerned </w:t>
      </w:r>
      <w:r w:rsidRPr="00910736">
        <w:rPr>
          <w:b/>
          <w:bCs/>
          <w:iCs/>
          <w:lang w:val="en-US"/>
        </w:rPr>
        <w:t xml:space="preserve">3GPP WGs, </w:t>
      </w:r>
      <w:r>
        <w:rPr>
          <w:b/>
          <w:bCs/>
          <w:iCs/>
          <w:lang w:val="en-US"/>
        </w:rPr>
        <w:t>e.g.</w:t>
      </w:r>
      <w:r w:rsidRPr="00910736">
        <w:rPr>
          <w:b/>
          <w:bCs/>
          <w:iCs/>
          <w:lang w:val="en-US"/>
        </w:rPr>
        <w:t>, RAN2, RAN3, and SA2.</w:t>
      </w:r>
    </w:p>
    <w:p w14:paraId="1F7889E1" w14:textId="7CA661AA" w:rsidR="006E0504" w:rsidRPr="006E0504" w:rsidRDefault="004B1F11" w:rsidP="006E0504">
      <w:pPr>
        <w:rPr>
          <w:lang w:val="en-US"/>
        </w:rPr>
      </w:pPr>
      <w:r>
        <w:rPr>
          <w:noProof/>
        </w:rPr>
        <w:drawing>
          <wp:inline distT="0" distB="0" distL="0" distR="0" wp14:anchorId="15FDA91A" wp14:editId="52973C6B">
            <wp:extent cx="6412545" cy="2047875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19650" cy="2050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25D5D7" w14:textId="6BEBB01F" w:rsidR="00910736" w:rsidRPr="00910736" w:rsidRDefault="00910736" w:rsidP="00910736">
      <w:pPr>
        <w:rPr>
          <w:b/>
          <w:bCs/>
          <w:iCs/>
          <w:lang w:val="en-US"/>
        </w:rPr>
      </w:pPr>
    </w:p>
    <w:p w14:paraId="6A601561" w14:textId="37B5C1CF" w:rsidR="00ED1D98" w:rsidRDefault="00256C07" w:rsidP="00083554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>As is well</w:t>
      </w:r>
      <w:r w:rsidR="008465DF">
        <w:rPr>
          <w:i w:val="0"/>
          <w:color w:val="auto"/>
          <w:sz w:val="20"/>
          <w:szCs w:val="20"/>
          <w:lang w:val="en-US"/>
        </w:rPr>
        <w:t xml:space="preserve"> </w:t>
      </w:r>
      <w:r>
        <w:rPr>
          <w:i w:val="0"/>
          <w:color w:val="auto"/>
          <w:sz w:val="20"/>
          <w:szCs w:val="20"/>
          <w:lang w:val="en-US"/>
        </w:rPr>
        <w:t>understood by now, t</w:t>
      </w:r>
      <w:r w:rsidR="00DF383D">
        <w:rPr>
          <w:i w:val="0"/>
          <w:color w:val="auto"/>
          <w:sz w:val="20"/>
          <w:szCs w:val="20"/>
          <w:lang w:val="en-US"/>
        </w:rPr>
        <w:t xml:space="preserve">he </w:t>
      </w:r>
      <w:r w:rsidR="00444548">
        <w:rPr>
          <w:i w:val="0"/>
          <w:color w:val="auto"/>
          <w:sz w:val="20"/>
          <w:szCs w:val="20"/>
          <w:lang w:val="en-US"/>
        </w:rPr>
        <w:t xml:space="preserve">Fast MCG recovery procedure </w:t>
      </w:r>
      <w:r w:rsidR="005A1134">
        <w:rPr>
          <w:i w:val="0"/>
          <w:color w:val="auto"/>
          <w:sz w:val="20"/>
          <w:szCs w:val="20"/>
          <w:lang w:val="en-US"/>
        </w:rPr>
        <w:t xml:space="preserve">may </w:t>
      </w:r>
      <w:r w:rsidR="008E2F03">
        <w:rPr>
          <w:i w:val="0"/>
          <w:color w:val="auto"/>
          <w:sz w:val="20"/>
          <w:szCs w:val="20"/>
          <w:lang w:val="en-US"/>
        </w:rPr>
        <w:t xml:space="preserve">involve </w:t>
      </w:r>
      <w:r w:rsidR="008616F1">
        <w:rPr>
          <w:i w:val="0"/>
          <w:color w:val="auto"/>
          <w:sz w:val="20"/>
          <w:szCs w:val="20"/>
          <w:lang w:val="en-US"/>
        </w:rPr>
        <w:t>the MN triggering</w:t>
      </w:r>
      <w:r w:rsidR="005A1134">
        <w:rPr>
          <w:i w:val="0"/>
          <w:color w:val="auto"/>
          <w:sz w:val="20"/>
          <w:szCs w:val="20"/>
          <w:lang w:val="en-US"/>
        </w:rPr>
        <w:t xml:space="preserve"> handover upon </w:t>
      </w:r>
      <w:r w:rsidR="003C4883">
        <w:rPr>
          <w:i w:val="0"/>
          <w:color w:val="auto"/>
          <w:sz w:val="20"/>
          <w:szCs w:val="20"/>
          <w:lang w:val="en-US"/>
        </w:rPr>
        <w:t>receiving the RRC MCG failure in</w:t>
      </w:r>
      <w:r w:rsidR="00A46D67">
        <w:rPr>
          <w:i w:val="0"/>
          <w:color w:val="auto"/>
          <w:sz w:val="20"/>
          <w:szCs w:val="20"/>
          <w:lang w:val="en-US"/>
        </w:rPr>
        <w:t xml:space="preserve">dication message </w:t>
      </w:r>
      <w:r w:rsidR="001D471D">
        <w:rPr>
          <w:i w:val="0"/>
          <w:color w:val="auto"/>
          <w:sz w:val="20"/>
          <w:szCs w:val="20"/>
          <w:lang w:val="en-US"/>
        </w:rPr>
        <w:t>from the UE sent via the SCG</w:t>
      </w:r>
      <w:r w:rsidR="008F5CFA">
        <w:rPr>
          <w:i w:val="0"/>
          <w:color w:val="auto"/>
          <w:sz w:val="20"/>
          <w:szCs w:val="20"/>
          <w:lang w:val="en-US"/>
        </w:rPr>
        <w:t xml:space="preserve">. </w:t>
      </w:r>
      <w:r w:rsidR="00C26C1E">
        <w:rPr>
          <w:i w:val="0"/>
          <w:color w:val="auto"/>
          <w:sz w:val="20"/>
          <w:szCs w:val="20"/>
          <w:lang w:val="en-US"/>
        </w:rPr>
        <w:t>With regard to th</w:t>
      </w:r>
      <w:r w:rsidR="008F5CFA">
        <w:rPr>
          <w:i w:val="0"/>
          <w:color w:val="auto"/>
          <w:sz w:val="20"/>
          <w:szCs w:val="20"/>
          <w:lang w:val="en-US"/>
        </w:rPr>
        <w:t>e</w:t>
      </w:r>
      <w:r w:rsidR="00C26C1E">
        <w:rPr>
          <w:i w:val="0"/>
          <w:color w:val="auto"/>
          <w:sz w:val="20"/>
          <w:szCs w:val="20"/>
          <w:lang w:val="en-US"/>
        </w:rPr>
        <w:t xml:space="preserve"> procedure, the </w:t>
      </w:r>
      <w:r w:rsidR="00D50A42">
        <w:rPr>
          <w:i w:val="0"/>
          <w:color w:val="auto"/>
          <w:sz w:val="20"/>
          <w:szCs w:val="20"/>
          <w:lang w:val="en-US"/>
        </w:rPr>
        <w:t xml:space="preserve">last four rows of </w:t>
      </w:r>
      <w:r>
        <w:rPr>
          <w:i w:val="0"/>
          <w:color w:val="auto"/>
          <w:sz w:val="20"/>
          <w:szCs w:val="20"/>
          <w:lang w:val="en-US"/>
        </w:rPr>
        <w:t xml:space="preserve">Table B-1, </w:t>
      </w:r>
      <w:r w:rsidR="005D5610">
        <w:rPr>
          <w:i w:val="0"/>
          <w:color w:val="auto"/>
          <w:sz w:val="20"/>
          <w:szCs w:val="20"/>
          <w:lang w:val="en-US"/>
        </w:rPr>
        <w:t>TS 37.340,</w:t>
      </w:r>
      <w:r w:rsidR="00D50A42">
        <w:rPr>
          <w:i w:val="0"/>
          <w:color w:val="auto"/>
          <w:sz w:val="20"/>
          <w:szCs w:val="20"/>
          <w:lang w:val="en-US"/>
        </w:rPr>
        <w:t xml:space="preserve"> are relevant. </w:t>
      </w:r>
      <w:r w:rsidR="0048464E">
        <w:rPr>
          <w:i w:val="0"/>
          <w:color w:val="auto"/>
          <w:sz w:val="20"/>
          <w:szCs w:val="20"/>
          <w:lang w:val="en-US"/>
        </w:rPr>
        <w:t xml:space="preserve">These rows indicate the </w:t>
      </w:r>
      <w:r w:rsidR="0080472A">
        <w:rPr>
          <w:i w:val="0"/>
          <w:color w:val="auto"/>
          <w:sz w:val="20"/>
          <w:szCs w:val="20"/>
          <w:lang w:val="en-US"/>
        </w:rPr>
        <w:t>possible handovers from</w:t>
      </w:r>
      <w:r w:rsidR="008C4175">
        <w:rPr>
          <w:i w:val="0"/>
          <w:color w:val="auto"/>
          <w:sz w:val="20"/>
          <w:szCs w:val="20"/>
          <w:lang w:val="en-US"/>
        </w:rPr>
        <w:t xml:space="preserve"> </w:t>
      </w:r>
      <w:r w:rsidR="0080472A">
        <w:rPr>
          <w:i w:val="0"/>
          <w:color w:val="auto"/>
          <w:sz w:val="20"/>
          <w:szCs w:val="20"/>
          <w:lang w:val="en-US"/>
        </w:rPr>
        <w:t xml:space="preserve">MR-DC </w:t>
      </w:r>
      <w:r w:rsidR="0080472A">
        <w:rPr>
          <w:i w:val="0"/>
          <w:color w:val="auto"/>
          <w:sz w:val="20"/>
          <w:szCs w:val="20"/>
          <w:lang w:val="en-US"/>
        </w:rPr>
        <w:lastRenderedPageBreak/>
        <w:t xml:space="preserve">configurations </w:t>
      </w:r>
      <w:r w:rsidR="00C60144">
        <w:rPr>
          <w:i w:val="0"/>
          <w:color w:val="auto"/>
          <w:sz w:val="20"/>
          <w:szCs w:val="20"/>
          <w:lang w:val="en-US"/>
        </w:rPr>
        <w:t xml:space="preserve">(EN-DC, NGEN-DC, NE-DC, </w:t>
      </w:r>
      <w:r w:rsidR="00593733">
        <w:rPr>
          <w:i w:val="0"/>
          <w:color w:val="auto"/>
          <w:sz w:val="20"/>
          <w:szCs w:val="20"/>
          <w:lang w:val="en-US"/>
        </w:rPr>
        <w:t xml:space="preserve">or </w:t>
      </w:r>
      <w:r w:rsidR="00C60144">
        <w:rPr>
          <w:i w:val="0"/>
          <w:color w:val="auto"/>
          <w:sz w:val="20"/>
          <w:szCs w:val="20"/>
          <w:lang w:val="en-US"/>
        </w:rPr>
        <w:t xml:space="preserve">NR-DC) </w:t>
      </w:r>
      <w:r w:rsidR="0080472A">
        <w:rPr>
          <w:i w:val="0"/>
          <w:color w:val="auto"/>
          <w:sz w:val="20"/>
          <w:szCs w:val="20"/>
          <w:lang w:val="en-US"/>
        </w:rPr>
        <w:t>to other configurations</w:t>
      </w:r>
      <w:r w:rsidR="00901C6E">
        <w:rPr>
          <w:i w:val="0"/>
          <w:color w:val="auto"/>
          <w:sz w:val="20"/>
          <w:szCs w:val="20"/>
          <w:lang w:val="en-US"/>
        </w:rPr>
        <w:t>. T</w:t>
      </w:r>
      <w:r w:rsidR="000D0CDD">
        <w:rPr>
          <w:i w:val="0"/>
          <w:color w:val="auto"/>
          <w:sz w:val="20"/>
          <w:szCs w:val="20"/>
          <w:lang w:val="en-US"/>
        </w:rPr>
        <w:t xml:space="preserve">he other configurations </w:t>
      </w:r>
      <w:r w:rsidR="005D5610">
        <w:rPr>
          <w:i w:val="0"/>
          <w:color w:val="auto"/>
          <w:sz w:val="20"/>
          <w:szCs w:val="20"/>
          <w:lang w:val="en-US"/>
        </w:rPr>
        <w:t xml:space="preserve">may </w:t>
      </w:r>
      <w:r w:rsidR="000D0CDD">
        <w:rPr>
          <w:i w:val="0"/>
          <w:color w:val="auto"/>
          <w:sz w:val="20"/>
          <w:szCs w:val="20"/>
          <w:lang w:val="en-US"/>
        </w:rPr>
        <w:t xml:space="preserve">involve standalone </w:t>
      </w:r>
      <w:r w:rsidR="00292A3A">
        <w:rPr>
          <w:i w:val="0"/>
          <w:color w:val="auto"/>
          <w:sz w:val="20"/>
          <w:szCs w:val="20"/>
          <w:lang w:val="en-US"/>
        </w:rPr>
        <w:t>configurations</w:t>
      </w:r>
      <w:r w:rsidR="00901C6E">
        <w:rPr>
          <w:i w:val="0"/>
          <w:color w:val="auto"/>
          <w:sz w:val="20"/>
          <w:szCs w:val="20"/>
          <w:lang w:val="en-US"/>
        </w:rPr>
        <w:t xml:space="preserve"> –</w:t>
      </w:r>
      <w:r w:rsidR="00292A3A">
        <w:rPr>
          <w:i w:val="0"/>
          <w:color w:val="auto"/>
          <w:sz w:val="20"/>
          <w:szCs w:val="20"/>
          <w:lang w:val="en-US"/>
        </w:rPr>
        <w:t xml:space="preserve"> </w:t>
      </w:r>
      <w:r w:rsidR="006B571F">
        <w:rPr>
          <w:i w:val="0"/>
          <w:color w:val="auto"/>
          <w:sz w:val="20"/>
          <w:szCs w:val="20"/>
          <w:lang w:val="en-US"/>
        </w:rPr>
        <w:t>e.g.</w:t>
      </w:r>
      <w:r w:rsidR="00292A3A">
        <w:rPr>
          <w:i w:val="0"/>
          <w:color w:val="auto"/>
          <w:sz w:val="20"/>
          <w:szCs w:val="20"/>
          <w:lang w:val="en-US"/>
        </w:rPr>
        <w:t>, E-UTRA with EPC, NR</w:t>
      </w:r>
      <w:r w:rsidR="00901C6E">
        <w:rPr>
          <w:i w:val="0"/>
          <w:color w:val="auto"/>
          <w:sz w:val="20"/>
          <w:szCs w:val="20"/>
          <w:lang w:val="en-US"/>
        </w:rPr>
        <w:t xml:space="preserve"> –</w:t>
      </w:r>
      <w:r w:rsidR="00292A3A">
        <w:rPr>
          <w:i w:val="0"/>
          <w:color w:val="auto"/>
          <w:sz w:val="20"/>
          <w:szCs w:val="20"/>
          <w:lang w:val="en-US"/>
        </w:rPr>
        <w:t xml:space="preserve"> </w:t>
      </w:r>
      <w:r w:rsidR="005D5610">
        <w:rPr>
          <w:i w:val="0"/>
          <w:color w:val="auto"/>
          <w:sz w:val="20"/>
          <w:szCs w:val="20"/>
          <w:lang w:val="en-US"/>
        </w:rPr>
        <w:t>or</w:t>
      </w:r>
      <w:r w:rsidR="00292A3A">
        <w:rPr>
          <w:i w:val="0"/>
          <w:color w:val="auto"/>
          <w:sz w:val="20"/>
          <w:szCs w:val="20"/>
          <w:lang w:val="en-US"/>
        </w:rPr>
        <w:t xml:space="preserve"> </w:t>
      </w:r>
      <w:r w:rsidR="00901C6E">
        <w:rPr>
          <w:i w:val="0"/>
          <w:color w:val="auto"/>
          <w:sz w:val="20"/>
          <w:szCs w:val="20"/>
          <w:lang w:val="en-US"/>
        </w:rPr>
        <w:t xml:space="preserve">dual connectivity configurations – </w:t>
      </w:r>
      <w:r w:rsidR="006B571F">
        <w:rPr>
          <w:i w:val="0"/>
          <w:color w:val="auto"/>
          <w:sz w:val="20"/>
          <w:szCs w:val="20"/>
          <w:lang w:val="en-US"/>
        </w:rPr>
        <w:t>e.g.</w:t>
      </w:r>
      <w:r w:rsidR="00C60144">
        <w:rPr>
          <w:i w:val="0"/>
          <w:color w:val="auto"/>
          <w:sz w:val="20"/>
          <w:szCs w:val="20"/>
          <w:lang w:val="en-US"/>
        </w:rPr>
        <w:t>, EN-DC.</w:t>
      </w:r>
      <w:r w:rsidR="00901C6E">
        <w:rPr>
          <w:i w:val="0"/>
          <w:color w:val="auto"/>
          <w:sz w:val="20"/>
          <w:szCs w:val="20"/>
          <w:lang w:val="en-US"/>
        </w:rPr>
        <w:t xml:space="preserve"> </w:t>
      </w:r>
      <w:r w:rsidR="005D16B1">
        <w:rPr>
          <w:i w:val="0"/>
          <w:color w:val="auto"/>
          <w:sz w:val="20"/>
          <w:szCs w:val="20"/>
          <w:lang w:val="en-US"/>
        </w:rPr>
        <w:t xml:space="preserve">As can be seen from the table, </w:t>
      </w:r>
      <w:r w:rsidR="00020C39">
        <w:rPr>
          <w:i w:val="0"/>
          <w:color w:val="auto"/>
          <w:sz w:val="20"/>
          <w:szCs w:val="20"/>
          <w:lang w:val="en-US"/>
        </w:rPr>
        <w:t xml:space="preserve">certain inter-system handovers are </w:t>
      </w:r>
      <w:r w:rsidR="005D5610">
        <w:rPr>
          <w:i w:val="0"/>
          <w:color w:val="auto"/>
          <w:sz w:val="20"/>
          <w:szCs w:val="20"/>
          <w:lang w:val="en-US"/>
        </w:rPr>
        <w:t xml:space="preserve">also </w:t>
      </w:r>
      <w:r w:rsidR="0041550C">
        <w:rPr>
          <w:i w:val="0"/>
          <w:color w:val="auto"/>
          <w:sz w:val="20"/>
          <w:szCs w:val="20"/>
          <w:lang w:val="en-US"/>
        </w:rPr>
        <w:t xml:space="preserve">indicated as </w:t>
      </w:r>
      <w:r w:rsidR="00B23D9D">
        <w:rPr>
          <w:i w:val="0"/>
          <w:color w:val="auto"/>
          <w:sz w:val="20"/>
          <w:szCs w:val="20"/>
          <w:lang w:val="en-US"/>
        </w:rPr>
        <w:t>supported</w:t>
      </w:r>
      <w:r w:rsidR="007A3490">
        <w:rPr>
          <w:i w:val="0"/>
          <w:color w:val="auto"/>
          <w:sz w:val="20"/>
          <w:szCs w:val="20"/>
          <w:lang w:val="en-US"/>
        </w:rPr>
        <w:t xml:space="preserve"> –</w:t>
      </w:r>
      <w:r w:rsidR="00B23D9D">
        <w:rPr>
          <w:i w:val="0"/>
          <w:color w:val="auto"/>
          <w:sz w:val="20"/>
          <w:szCs w:val="20"/>
          <w:lang w:val="en-US"/>
        </w:rPr>
        <w:t xml:space="preserve"> for example, handover from </w:t>
      </w:r>
      <w:r w:rsidR="00067F71">
        <w:rPr>
          <w:i w:val="0"/>
          <w:color w:val="auto"/>
          <w:sz w:val="20"/>
          <w:szCs w:val="20"/>
          <w:lang w:val="en-US"/>
        </w:rPr>
        <w:t xml:space="preserve">NR-DC to </w:t>
      </w:r>
      <w:r w:rsidR="00982FFB">
        <w:rPr>
          <w:i w:val="0"/>
          <w:color w:val="auto"/>
          <w:sz w:val="20"/>
          <w:szCs w:val="20"/>
          <w:lang w:val="en-US"/>
        </w:rPr>
        <w:t>E-UTRA</w:t>
      </w:r>
      <w:r w:rsidR="00B23D9D">
        <w:rPr>
          <w:i w:val="0"/>
          <w:color w:val="auto"/>
          <w:sz w:val="20"/>
          <w:szCs w:val="20"/>
          <w:lang w:val="en-US"/>
        </w:rPr>
        <w:t xml:space="preserve"> </w:t>
      </w:r>
      <w:r w:rsidR="00982FFB">
        <w:rPr>
          <w:i w:val="0"/>
          <w:color w:val="auto"/>
          <w:sz w:val="20"/>
          <w:szCs w:val="20"/>
          <w:lang w:val="en-US"/>
        </w:rPr>
        <w:t xml:space="preserve">with EPC, </w:t>
      </w:r>
      <w:r w:rsidR="006360F1">
        <w:rPr>
          <w:i w:val="0"/>
          <w:color w:val="auto"/>
          <w:sz w:val="20"/>
          <w:szCs w:val="20"/>
          <w:lang w:val="en-US"/>
        </w:rPr>
        <w:t>and handover from EN-DC to NR.</w:t>
      </w:r>
      <w:r w:rsidR="00581CEF">
        <w:rPr>
          <w:i w:val="0"/>
          <w:color w:val="auto"/>
          <w:sz w:val="20"/>
          <w:szCs w:val="20"/>
          <w:lang w:val="en-US"/>
        </w:rPr>
        <w:t xml:space="preserve"> </w:t>
      </w:r>
    </w:p>
    <w:p w14:paraId="11931AF9" w14:textId="0830CDE4" w:rsidR="00EE386E" w:rsidRDefault="009345E4" w:rsidP="00083554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>A</w:t>
      </w:r>
      <w:r w:rsidR="00ED1D98">
        <w:rPr>
          <w:i w:val="0"/>
          <w:color w:val="auto"/>
          <w:sz w:val="20"/>
          <w:szCs w:val="20"/>
          <w:lang w:val="en-US"/>
        </w:rPr>
        <w:t xml:space="preserve">lso, it </w:t>
      </w:r>
      <w:r w:rsidR="00DA572F">
        <w:rPr>
          <w:i w:val="0"/>
          <w:color w:val="auto"/>
          <w:sz w:val="20"/>
          <w:szCs w:val="20"/>
          <w:lang w:val="en-US"/>
        </w:rPr>
        <w:t>has been agreed in RAN2</w:t>
      </w:r>
      <w:r w:rsidR="00993A61">
        <w:rPr>
          <w:i w:val="0"/>
          <w:color w:val="auto"/>
          <w:sz w:val="20"/>
          <w:szCs w:val="20"/>
          <w:lang w:val="en-US"/>
        </w:rPr>
        <w:t xml:space="preserve"> </w:t>
      </w:r>
      <w:r w:rsidR="00ED1D98">
        <w:rPr>
          <w:i w:val="0"/>
          <w:color w:val="auto"/>
          <w:sz w:val="20"/>
          <w:szCs w:val="20"/>
          <w:lang w:val="en-US"/>
        </w:rPr>
        <w:t xml:space="preserve">that </w:t>
      </w:r>
      <w:r w:rsidR="00DA572F">
        <w:rPr>
          <w:i w:val="0"/>
          <w:color w:val="auto"/>
          <w:sz w:val="20"/>
          <w:szCs w:val="20"/>
          <w:lang w:val="en-US"/>
        </w:rPr>
        <w:t xml:space="preserve">the </w:t>
      </w:r>
      <w:r w:rsidR="00EE386E" w:rsidRPr="00EE386E">
        <w:rPr>
          <w:i w:val="0"/>
          <w:color w:val="auto"/>
          <w:sz w:val="20"/>
          <w:szCs w:val="20"/>
          <w:lang w:val="en-US"/>
        </w:rPr>
        <w:t xml:space="preserve">UE includes available NR and E-UTRA measurement results in the RRC </w:t>
      </w:r>
      <w:r w:rsidR="00EE386E" w:rsidRPr="00EE386E">
        <w:rPr>
          <w:iCs w:val="0"/>
          <w:color w:val="auto"/>
          <w:sz w:val="20"/>
          <w:szCs w:val="20"/>
          <w:lang w:val="en-US"/>
        </w:rPr>
        <w:t>MCGFailureInformation</w:t>
      </w:r>
      <w:r w:rsidR="00EE386E" w:rsidRPr="00EE386E">
        <w:rPr>
          <w:i w:val="0"/>
          <w:color w:val="auto"/>
          <w:sz w:val="20"/>
          <w:szCs w:val="20"/>
          <w:lang w:val="en-US"/>
        </w:rPr>
        <w:t xml:space="preserve"> message as per the </w:t>
      </w:r>
      <w:r w:rsidR="000E0BB8">
        <w:rPr>
          <w:i w:val="0"/>
          <w:color w:val="auto"/>
          <w:sz w:val="20"/>
          <w:szCs w:val="20"/>
          <w:lang w:val="en-US"/>
        </w:rPr>
        <w:t xml:space="preserve">network </w:t>
      </w:r>
      <w:r w:rsidR="00EE386E" w:rsidRPr="00EE386E">
        <w:rPr>
          <w:i w:val="0"/>
          <w:color w:val="auto"/>
          <w:sz w:val="20"/>
          <w:szCs w:val="20"/>
          <w:lang w:val="en-US"/>
        </w:rPr>
        <w:t>measurement configuration, in order to enable the network to make the mobility control decision.</w:t>
      </w:r>
    </w:p>
    <w:p w14:paraId="09152D6F" w14:textId="4AFDB3B5" w:rsidR="003A4CE0" w:rsidRDefault="00860859" w:rsidP="00083554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 xml:space="preserve">Based on the above discussion, </w:t>
      </w:r>
      <w:r w:rsidR="00C2435F">
        <w:rPr>
          <w:i w:val="0"/>
          <w:color w:val="auto"/>
          <w:sz w:val="20"/>
          <w:szCs w:val="20"/>
          <w:lang w:val="en-US"/>
        </w:rPr>
        <w:t>we think that</w:t>
      </w:r>
      <w:r w:rsidR="004775F2">
        <w:rPr>
          <w:i w:val="0"/>
          <w:color w:val="auto"/>
          <w:sz w:val="20"/>
          <w:szCs w:val="20"/>
          <w:lang w:val="en-US"/>
        </w:rPr>
        <w:t xml:space="preserve"> there should be no issues </w:t>
      </w:r>
      <w:r w:rsidR="006C4AB2">
        <w:rPr>
          <w:i w:val="0"/>
          <w:color w:val="auto"/>
          <w:sz w:val="20"/>
          <w:szCs w:val="20"/>
          <w:lang w:val="en-US"/>
        </w:rPr>
        <w:t xml:space="preserve">in supporting the MR-DC </w:t>
      </w:r>
      <w:r w:rsidR="001611B3">
        <w:rPr>
          <w:i w:val="0"/>
          <w:color w:val="auto"/>
          <w:sz w:val="20"/>
          <w:szCs w:val="20"/>
          <w:lang w:val="en-US"/>
        </w:rPr>
        <w:t xml:space="preserve">handover scenarios </w:t>
      </w:r>
      <w:r w:rsidR="00C867F6">
        <w:rPr>
          <w:i w:val="0"/>
          <w:color w:val="auto"/>
          <w:sz w:val="20"/>
          <w:szCs w:val="20"/>
          <w:lang w:val="en-US"/>
        </w:rPr>
        <w:t xml:space="preserve">in Table B-1, TS 37.340, </w:t>
      </w:r>
      <w:r w:rsidR="001611B3">
        <w:rPr>
          <w:i w:val="0"/>
          <w:color w:val="auto"/>
          <w:sz w:val="20"/>
          <w:szCs w:val="20"/>
          <w:lang w:val="en-US"/>
        </w:rPr>
        <w:t xml:space="preserve">for the Fast MCG </w:t>
      </w:r>
      <w:r w:rsidR="00C867F6">
        <w:rPr>
          <w:i w:val="0"/>
          <w:color w:val="auto"/>
          <w:sz w:val="20"/>
          <w:szCs w:val="20"/>
          <w:lang w:val="en-US"/>
        </w:rPr>
        <w:t>r</w:t>
      </w:r>
      <w:r w:rsidR="001611B3">
        <w:rPr>
          <w:i w:val="0"/>
          <w:color w:val="auto"/>
          <w:sz w:val="20"/>
          <w:szCs w:val="20"/>
          <w:lang w:val="en-US"/>
        </w:rPr>
        <w:t xml:space="preserve">ecovery </w:t>
      </w:r>
      <w:r w:rsidR="00C867F6">
        <w:rPr>
          <w:i w:val="0"/>
          <w:color w:val="auto"/>
          <w:sz w:val="20"/>
          <w:szCs w:val="20"/>
          <w:lang w:val="en-US"/>
        </w:rPr>
        <w:t>procedure</w:t>
      </w:r>
      <w:r w:rsidR="00260062">
        <w:rPr>
          <w:i w:val="0"/>
          <w:color w:val="auto"/>
          <w:sz w:val="20"/>
          <w:szCs w:val="20"/>
          <w:lang w:val="en-US"/>
        </w:rPr>
        <w:t>. D</w:t>
      </w:r>
      <w:r w:rsidR="00C87432">
        <w:rPr>
          <w:i w:val="0"/>
          <w:color w:val="auto"/>
          <w:sz w:val="20"/>
          <w:szCs w:val="20"/>
          <w:lang w:val="en-US"/>
        </w:rPr>
        <w:t>epending on the UE measurement results</w:t>
      </w:r>
      <w:r w:rsidR="00260062">
        <w:rPr>
          <w:i w:val="0"/>
          <w:color w:val="auto"/>
          <w:sz w:val="20"/>
          <w:szCs w:val="20"/>
          <w:lang w:val="en-US"/>
        </w:rPr>
        <w:t xml:space="preserve"> included in the </w:t>
      </w:r>
      <w:r w:rsidR="00571FEB">
        <w:rPr>
          <w:i w:val="0"/>
          <w:color w:val="auto"/>
          <w:sz w:val="20"/>
          <w:szCs w:val="20"/>
          <w:lang w:val="en-US"/>
        </w:rPr>
        <w:t xml:space="preserve">RRC </w:t>
      </w:r>
      <w:r w:rsidR="00260062">
        <w:rPr>
          <w:i w:val="0"/>
          <w:color w:val="auto"/>
          <w:sz w:val="20"/>
          <w:szCs w:val="20"/>
          <w:lang w:val="en-US"/>
        </w:rPr>
        <w:t>MCG failure indication</w:t>
      </w:r>
      <w:r w:rsidR="00A31283">
        <w:rPr>
          <w:i w:val="0"/>
          <w:color w:val="auto"/>
          <w:sz w:val="20"/>
          <w:szCs w:val="20"/>
          <w:lang w:val="en-US"/>
        </w:rPr>
        <w:t xml:space="preserve"> message</w:t>
      </w:r>
      <w:r w:rsidR="00C87432">
        <w:rPr>
          <w:i w:val="0"/>
          <w:color w:val="auto"/>
          <w:sz w:val="20"/>
          <w:szCs w:val="20"/>
          <w:lang w:val="en-US"/>
        </w:rPr>
        <w:t xml:space="preserve">, </w:t>
      </w:r>
      <w:r w:rsidR="004D04B1">
        <w:rPr>
          <w:i w:val="0"/>
          <w:color w:val="auto"/>
          <w:sz w:val="20"/>
          <w:szCs w:val="20"/>
          <w:lang w:val="en-US"/>
        </w:rPr>
        <w:t>the</w:t>
      </w:r>
      <w:r w:rsidR="004D04B1" w:rsidRPr="00C9135A">
        <w:rPr>
          <w:i w:val="0"/>
          <w:color w:val="auto"/>
          <w:sz w:val="20"/>
          <w:szCs w:val="20"/>
          <w:lang w:val="en-US"/>
        </w:rPr>
        <w:t xml:space="preserve"> procedure </w:t>
      </w:r>
      <w:r w:rsidR="00F86AF5">
        <w:rPr>
          <w:i w:val="0"/>
          <w:color w:val="auto"/>
          <w:sz w:val="20"/>
          <w:szCs w:val="20"/>
          <w:lang w:val="en-US"/>
        </w:rPr>
        <w:t>could</w:t>
      </w:r>
      <w:r w:rsidR="004D04B1" w:rsidRPr="00C9135A">
        <w:rPr>
          <w:i w:val="0"/>
          <w:color w:val="auto"/>
          <w:sz w:val="20"/>
          <w:szCs w:val="20"/>
          <w:lang w:val="en-US"/>
        </w:rPr>
        <w:t xml:space="preserve"> involve any of the MR-DC handovers indicated to be supported in </w:t>
      </w:r>
      <w:r w:rsidR="00663642">
        <w:rPr>
          <w:i w:val="0"/>
          <w:color w:val="auto"/>
          <w:sz w:val="20"/>
          <w:szCs w:val="20"/>
          <w:lang w:val="en-US"/>
        </w:rPr>
        <w:t>the table</w:t>
      </w:r>
      <w:r w:rsidR="00C867F6">
        <w:rPr>
          <w:i w:val="0"/>
          <w:color w:val="auto"/>
          <w:sz w:val="20"/>
          <w:szCs w:val="20"/>
          <w:lang w:val="en-US"/>
        </w:rPr>
        <w:t xml:space="preserve">. </w:t>
      </w:r>
      <w:r w:rsidR="00E53692">
        <w:rPr>
          <w:i w:val="0"/>
          <w:color w:val="auto"/>
          <w:sz w:val="20"/>
          <w:szCs w:val="20"/>
          <w:lang w:val="en-US"/>
        </w:rPr>
        <w:t>No additional MR-DC handover</w:t>
      </w:r>
      <w:r w:rsidR="001D1B8E">
        <w:rPr>
          <w:i w:val="0"/>
          <w:color w:val="auto"/>
          <w:sz w:val="20"/>
          <w:szCs w:val="20"/>
          <w:lang w:val="en-US"/>
        </w:rPr>
        <w:t xml:space="preserve"> scenarios </w:t>
      </w:r>
      <w:r w:rsidR="003A4CE0">
        <w:rPr>
          <w:i w:val="0"/>
          <w:color w:val="auto"/>
          <w:sz w:val="20"/>
          <w:szCs w:val="20"/>
          <w:lang w:val="en-US"/>
        </w:rPr>
        <w:t>should be supported.</w:t>
      </w:r>
      <w:r w:rsidR="007303A7">
        <w:rPr>
          <w:i w:val="0"/>
          <w:color w:val="auto"/>
          <w:sz w:val="20"/>
          <w:szCs w:val="20"/>
          <w:lang w:val="en-US"/>
        </w:rPr>
        <w:t xml:space="preserve"> </w:t>
      </w:r>
    </w:p>
    <w:p w14:paraId="01E3F8BB" w14:textId="763A2D49" w:rsidR="0028505A" w:rsidRPr="0028505A" w:rsidRDefault="003202A6" w:rsidP="0028505A">
      <w:pPr>
        <w:rPr>
          <w:lang w:val="en-US"/>
        </w:rPr>
      </w:pPr>
      <w:r>
        <w:rPr>
          <w:lang w:val="en-US"/>
        </w:rPr>
        <w:t>In the current running CRs</w:t>
      </w:r>
      <w:r w:rsidR="00E522DF">
        <w:rPr>
          <w:lang w:val="en-US"/>
        </w:rPr>
        <w:t xml:space="preserve"> [3], [4]</w:t>
      </w:r>
      <w:r>
        <w:rPr>
          <w:lang w:val="en-US"/>
        </w:rPr>
        <w:t>, the intra-system MR-DC handover scenarios are supported</w:t>
      </w:r>
      <w:r w:rsidR="00E522DF">
        <w:rPr>
          <w:lang w:val="en-US"/>
        </w:rPr>
        <w:t xml:space="preserve"> </w:t>
      </w:r>
      <w:r w:rsidR="00AD6C93">
        <w:rPr>
          <w:lang w:val="en-US"/>
        </w:rPr>
        <w:t xml:space="preserve">for Fast MCG recovery </w:t>
      </w:r>
      <w:r w:rsidR="00E522DF">
        <w:rPr>
          <w:lang w:val="en-US"/>
        </w:rPr>
        <w:t>but not the inter-system ones</w:t>
      </w:r>
      <w:r>
        <w:rPr>
          <w:lang w:val="en-US"/>
        </w:rPr>
        <w:t>.</w:t>
      </w:r>
    </w:p>
    <w:p w14:paraId="50F9553E" w14:textId="29A2BB36" w:rsidR="00DC3E00" w:rsidRDefault="00DC3E00" w:rsidP="00DC3E00">
      <w:pPr>
        <w:rPr>
          <w:rFonts w:eastAsiaTheme="minorHAnsi"/>
          <w:b/>
          <w:bCs/>
          <w:lang w:val="en-US"/>
        </w:rPr>
      </w:pPr>
      <w:r>
        <w:rPr>
          <w:b/>
          <w:bCs/>
        </w:rPr>
        <w:t xml:space="preserve">Observation 2. The intra-system MR-DC handover scenarios in the last four rows of Table B-1, TS 37.340, are supported for </w:t>
      </w:r>
      <w:r w:rsidR="00EA5A23">
        <w:rPr>
          <w:b/>
          <w:bCs/>
        </w:rPr>
        <w:t xml:space="preserve">the </w:t>
      </w:r>
      <w:r>
        <w:rPr>
          <w:b/>
          <w:bCs/>
        </w:rPr>
        <w:t xml:space="preserve">Fast MCG recovery </w:t>
      </w:r>
      <w:r w:rsidR="00EA5A23">
        <w:rPr>
          <w:b/>
          <w:bCs/>
        </w:rPr>
        <w:t xml:space="preserve">procedure </w:t>
      </w:r>
      <w:r>
        <w:rPr>
          <w:b/>
          <w:bCs/>
        </w:rPr>
        <w:t>in the current running CRs</w:t>
      </w:r>
      <w:r w:rsidR="00123483">
        <w:rPr>
          <w:b/>
          <w:bCs/>
        </w:rPr>
        <w:t xml:space="preserve"> [3], [4]</w:t>
      </w:r>
      <w:r>
        <w:rPr>
          <w:b/>
          <w:bCs/>
        </w:rPr>
        <w:t>.</w:t>
      </w:r>
    </w:p>
    <w:p w14:paraId="0AE809AF" w14:textId="76032F47" w:rsidR="00754564" w:rsidRPr="00351C69" w:rsidRDefault="00754564" w:rsidP="00754564">
      <w:pPr>
        <w:rPr>
          <w:b/>
          <w:bCs/>
          <w:lang w:val="en-US"/>
        </w:rPr>
      </w:pPr>
      <w:r w:rsidRPr="00351C69">
        <w:rPr>
          <w:b/>
          <w:bCs/>
          <w:lang w:val="en-US"/>
        </w:rPr>
        <w:t>Proposal 1. The inter-system MR-DC handover scenarios in the last four rows of Table B-1, TS 37.340, should also be supported for the procedure. Spec</w:t>
      </w:r>
      <w:r w:rsidR="00EA5A23">
        <w:rPr>
          <w:b/>
          <w:bCs/>
          <w:lang w:val="en-US"/>
        </w:rPr>
        <w:t>ifically</w:t>
      </w:r>
      <w:r w:rsidRPr="00351C69">
        <w:rPr>
          <w:b/>
          <w:bCs/>
          <w:lang w:val="en-US"/>
        </w:rPr>
        <w:t>, the following scenarios should be supported</w:t>
      </w:r>
      <w:r w:rsidR="00A32D03">
        <w:rPr>
          <w:b/>
          <w:bCs/>
          <w:lang w:val="en-US"/>
        </w:rPr>
        <w:t xml:space="preserve"> for the procedure</w:t>
      </w:r>
      <w:r w:rsidRPr="00351C69">
        <w:rPr>
          <w:b/>
          <w:bCs/>
          <w:lang w:val="en-US"/>
        </w:rPr>
        <w:t>, and the Mobility from NR and Mobility from E-UTRA procedures can be used for this purpose.</w:t>
      </w:r>
    </w:p>
    <w:p w14:paraId="7812E890" w14:textId="77777777" w:rsidR="00754564" w:rsidRPr="00351C69" w:rsidRDefault="00754564" w:rsidP="00754564">
      <w:pPr>
        <w:pStyle w:val="ListParagraph"/>
        <w:numPr>
          <w:ilvl w:val="0"/>
          <w:numId w:val="47"/>
        </w:numPr>
        <w:rPr>
          <w:b/>
          <w:bCs/>
          <w:lang w:val="en-US"/>
        </w:rPr>
      </w:pPr>
      <w:r w:rsidRPr="00351C69">
        <w:rPr>
          <w:b/>
          <w:bCs/>
          <w:lang w:val="en-US"/>
        </w:rPr>
        <w:t>EN-DC to E-UTRA with 5GC;</w:t>
      </w:r>
    </w:p>
    <w:p w14:paraId="449B7B5E" w14:textId="77777777" w:rsidR="00754564" w:rsidRPr="00351C69" w:rsidRDefault="00754564" w:rsidP="00754564">
      <w:pPr>
        <w:pStyle w:val="ListParagraph"/>
        <w:numPr>
          <w:ilvl w:val="0"/>
          <w:numId w:val="47"/>
        </w:numPr>
        <w:rPr>
          <w:b/>
          <w:bCs/>
          <w:lang w:val="en-US"/>
        </w:rPr>
      </w:pPr>
      <w:r w:rsidRPr="00351C69">
        <w:rPr>
          <w:b/>
          <w:bCs/>
          <w:lang w:val="en-US"/>
        </w:rPr>
        <w:t>EN-DC to NR;</w:t>
      </w:r>
    </w:p>
    <w:p w14:paraId="4A4FE5B6" w14:textId="77777777" w:rsidR="00754564" w:rsidRPr="00351C69" w:rsidRDefault="00754564" w:rsidP="00754564">
      <w:pPr>
        <w:pStyle w:val="ListParagraph"/>
        <w:numPr>
          <w:ilvl w:val="0"/>
          <w:numId w:val="47"/>
        </w:numPr>
        <w:rPr>
          <w:b/>
          <w:bCs/>
          <w:lang w:val="en-US"/>
        </w:rPr>
      </w:pPr>
      <w:r w:rsidRPr="00351C69">
        <w:rPr>
          <w:b/>
          <w:bCs/>
          <w:lang w:val="en-US"/>
        </w:rPr>
        <w:t>NGEN-DC to E-UTRA with EPC;</w:t>
      </w:r>
    </w:p>
    <w:p w14:paraId="0A5EE78B" w14:textId="77777777" w:rsidR="00754564" w:rsidRPr="00351C69" w:rsidRDefault="00754564" w:rsidP="00754564">
      <w:pPr>
        <w:pStyle w:val="ListParagraph"/>
        <w:numPr>
          <w:ilvl w:val="0"/>
          <w:numId w:val="47"/>
        </w:numPr>
        <w:rPr>
          <w:b/>
          <w:bCs/>
          <w:lang w:val="en-US"/>
        </w:rPr>
      </w:pPr>
      <w:r w:rsidRPr="00351C69">
        <w:rPr>
          <w:b/>
          <w:bCs/>
          <w:lang w:val="en-US"/>
        </w:rPr>
        <w:t>NE-DC to E-UTRA with EPC;</w:t>
      </w:r>
    </w:p>
    <w:p w14:paraId="49431B12" w14:textId="754C4779" w:rsidR="00754564" w:rsidRPr="00351C69" w:rsidRDefault="00754564" w:rsidP="00754564">
      <w:pPr>
        <w:pStyle w:val="ListParagraph"/>
        <w:numPr>
          <w:ilvl w:val="0"/>
          <w:numId w:val="47"/>
        </w:numPr>
        <w:rPr>
          <w:b/>
          <w:bCs/>
          <w:lang w:val="en-US"/>
        </w:rPr>
      </w:pPr>
      <w:r w:rsidRPr="00351C69">
        <w:rPr>
          <w:b/>
          <w:bCs/>
          <w:lang w:val="en-US"/>
        </w:rPr>
        <w:t>NR-DC to E-UTRA with EPC.</w:t>
      </w:r>
    </w:p>
    <w:p w14:paraId="26A53B13" w14:textId="50F6E959" w:rsidR="002762D8" w:rsidRPr="00351C69" w:rsidRDefault="00754564" w:rsidP="00351C69">
      <w:pPr>
        <w:rPr>
          <w:lang w:val="en-US"/>
        </w:rPr>
      </w:pPr>
      <w:r w:rsidRPr="00351C69">
        <w:rPr>
          <w:b/>
          <w:bCs/>
          <w:lang w:val="en-US"/>
        </w:rPr>
        <w:t>Proposal 2. No additional MR-DC handover scenarios other than those in Table B-1, TS 37.340, should be supported for the Fast MCG recovery procedure.</w:t>
      </w:r>
      <w:bookmarkEnd w:id="2"/>
      <w:bookmarkEnd w:id="3"/>
    </w:p>
    <w:p w14:paraId="745694F2" w14:textId="0A7B08F1" w:rsidR="00D707D7" w:rsidRDefault="00D707D7" w:rsidP="00D707D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Conclusions</w:t>
      </w:r>
    </w:p>
    <w:p w14:paraId="2D12AE63" w14:textId="2E1D3B5C" w:rsidR="00D707D7" w:rsidRDefault="005B55AD" w:rsidP="00562819">
      <w:pPr>
        <w:spacing w:before="120" w:after="0"/>
      </w:pPr>
      <w:bookmarkStart w:id="4" w:name="_Hlk512894710"/>
      <w:r>
        <w:t>Based on the above discussion, we recommend that RAN</w:t>
      </w:r>
      <w:r w:rsidR="00DE68D7">
        <w:t>2</w:t>
      </w:r>
      <w:r>
        <w:t xml:space="preserve"> discuss the following </w:t>
      </w:r>
      <w:r w:rsidR="00693ED4">
        <w:t>observation</w:t>
      </w:r>
      <w:r w:rsidR="00B85DB4">
        <w:t xml:space="preserve"> </w:t>
      </w:r>
      <w:r w:rsidR="00693ED4">
        <w:t xml:space="preserve">and </w:t>
      </w:r>
      <w:r>
        <w:t>proposal</w:t>
      </w:r>
      <w:bookmarkEnd w:id="4"/>
      <w:r w:rsidR="00B85DB4">
        <w:t>.</w:t>
      </w:r>
    </w:p>
    <w:p w14:paraId="69BC1DC1" w14:textId="70CE620E" w:rsidR="00A05CC1" w:rsidRDefault="00A05CC1" w:rsidP="00A05CC1">
      <w:pPr>
        <w:rPr>
          <w:b/>
          <w:bCs/>
        </w:rPr>
      </w:pPr>
    </w:p>
    <w:p w14:paraId="3894B756" w14:textId="7B83E0E2" w:rsidR="00A05CC1" w:rsidRDefault="00A05CC1" w:rsidP="00A05CC1">
      <w:pPr>
        <w:rPr>
          <w:b/>
          <w:bCs/>
        </w:rPr>
      </w:pPr>
      <w:r w:rsidRPr="00910736">
        <w:rPr>
          <w:b/>
          <w:bCs/>
          <w:iCs/>
          <w:lang w:val="en-US"/>
        </w:rPr>
        <w:t>Observation</w:t>
      </w:r>
      <w:r>
        <w:rPr>
          <w:b/>
          <w:bCs/>
          <w:iCs/>
          <w:lang w:val="en-US"/>
        </w:rPr>
        <w:t xml:space="preserve"> 1</w:t>
      </w:r>
      <w:r w:rsidRPr="00910736">
        <w:rPr>
          <w:b/>
          <w:bCs/>
          <w:iCs/>
          <w:lang w:val="en-US"/>
        </w:rPr>
        <w:t>. Table B-1</w:t>
      </w:r>
      <w:r>
        <w:rPr>
          <w:b/>
          <w:bCs/>
          <w:iCs/>
          <w:lang w:val="en-US"/>
        </w:rPr>
        <w:t xml:space="preserve">, </w:t>
      </w:r>
      <w:r w:rsidRPr="00910736">
        <w:rPr>
          <w:b/>
          <w:bCs/>
          <w:iCs/>
          <w:lang w:val="en-US"/>
        </w:rPr>
        <w:t>TS 37.340</w:t>
      </w:r>
      <w:r>
        <w:rPr>
          <w:b/>
          <w:bCs/>
          <w:iCs/>
          <w:lang w:val="en-US"/>
        </w:rPr>
        <w:t>,</w:t>
      </w:r>
      <w:r w:rsidRPr="00910736">
        <w:rPr>
          <w:b/>
          <w:bCs/>
          <w:iCs/>
          <w:lang w:val="en-US"/>
        </w:rPr>
        <w:t xml:space="preserve"> provides the supported handover scenarios involving MR-DC configurations in Rel-16, which means that these scenarios have been agreed to be supported by the </w:t>
      </w:r>
      <w:r>
        <w:rPr>
          <w:b/>
          <w:bCs/>
          <w:iCs/>
          <w:lang w:val="en-US"/>
        </w:rPr>
        <w:t xml:space="preserve">concerned </w:t>
      </w:r>
      <w:r w:rsidRPr="00910736">
        <w:rPr>
          <w:b/>
          <w:bCs/>
          <w:iCs/>
          <w:lang w:val="en-US"/>
        </w:rPr>
        <w:t xml:space="preserve">3GPP WGs, </w:t>
      </w:r>
      <w:r>
        <w:rPr>
          <w:b/>
          <w:bCs/>
          <w:iCs/>
          <w:lang w:val="en-US"/>
        </w:rPr>
        <w:t>e.g.</w:t>
      </w:r>
      <w:r w:rsidRPr="00910736">
        <w:rPr>
          <w:b/>
          <w:bCs/>
          <w:iCs/>
          <w:lang w:val="en-US"/>
        </w:rPr>
        <w:t>, RAN2, RAN3, and SA2.</w:t>
      </w:r>
    </w:p>
    <w:p w14:paraId="23FDA597" w14:textId="29A994BF" w:rsidR="00A05CC1" w:rsidRDefault="00A05CC1" w:rsidP="00A05CC1">
      <w:pPr>
        <w:rPr>
          <w:rFonts w:eastAsiaTheme="minorHAnsi"/>
          <w:b/>
          <w:bCs/>
          <w:lang w:val="en-US"/>
        </w:rPr>
      </w:pPr>
      <w:r>
        <w:rPr>
          <w:b/>
          <w:bCs/>
        </w:rPr>
        <w:t>Observation 2. The intra-system MR-DC handover scenarios in the last four rows of Table B-1, TS 37.340, are supported for the Fast MCG recovery procedure in the current running CRs [3], [4].</w:t>
      </w:r>
    </w:p>
    <w:p w14:paraId="54C667F2" w14:textId="77777777" w:rsidR="00A05CC1" w:rsidRPr="00351C69" w:rsidRDefault="00A05CC1" w:rsidP="00A05CC1">
      <w:pPr>
        <w:rPr>
          <w:b/>
          <w:bCs/>
          <w:lang w:val="en-US"/>
        </w:rPr>
      </w:pPr>
      <w:r w:rsidRPr="00351C69">
        <w:rPr>
          <w:b/>
          <w:bCs/>
          <w:lang w:val="en-US"/>
        </w:rPr>
        <w:t>Proposal 1. The inter-system MR-DC handover scenarios in the last four rows of Table B-1, TS 37.340, should also be supported for the procedure. Spec</w:t>
      </w:r>
      <w:r>
        <w:rPr>
          <w:b/>
          <w:bCs/>
          <w:lang w:val="en-US"/>
        </w:rPr>
        <w:t>ifically</w:t>
      </w:r>
      <w:r w:rsidRPr="00351C69">
        <w:rPr>
          <w:b/>
          <w:bCs/>
          <w:lang w:val="en-US"/>
        </w:rPr>
        <w:t>, the following scenarios should be supported</w:t>
      </w:r>
      <w:r>
        <w:rPr>
          <w:b/>
          <w:bCs/>
          <w:lang w:val="en-US"/>
        </w:rPr>
        <w:t xml:space="preserve"> for the procedure</w:t>
      </w:r>
      <w:r w:rsidRPr="00351C69">
        <w:rPr>
          <w:b/>
          <w:bCs/>
          <w:lang w:val="en-US"/>
        </w:rPr>
        <w:t>, and the Mobility from NR and Mobility from E-UTRA procedures can be used for this purpose.</w:t>
      </w:r>
    </w:p>
    <w:p w14:paraId="5A8EA3CD" w14:textId="77777777" w:rsidR="00A05CC1" w:rsidRPr="00351C69" w:rsidRDefault="00A05CC1" w:rsidP="00A05CC1">
      <w:pPr>
        <w:pStyle w:val="ListParagraph"/>
        <w:numPr>
          <w:ilvl w:val="0"/>
          <w:numId w:val="47"/>
        </w:numPr>
        <w:rPr>
          <w:b/>
          <w:bCs/>
          <w:lang w:val="en-US"/>
        </w:rPr>
      </w:pPr>
      <w:r w:rsidRPr="00351C69">
        <w:rPr>
          <w:b/>
          <w:bCs/>
          <w:lang w:val="en-US"/>
        </w:rPr>
        <w:t>EN-DC to E-UTRA with 5GC;</w:t>
      </w:r>
    </w:p>
    <w:p w14:paraId="2D2ED71A" w14:textId="77777777" w:rsidR="00A05CC1" w:rsidRPr="00351C69" w:rsidRDefault="00A05CC1" w:rsidP="00A05CC1">
      <w:pPr>
        <w:pStyle w:val="ListParagraph"/>
        <w:numPr>
          <w:ilvl w:val="0"/>
          <w:numId w:val="47"/>
        </w:numPr>
        <w:rPr>
          <w:b/>
          <w:bCs/>
          <w:lang w:val="en-US"/>
        </w:rPr>
      </w:pPr>
      <w:r w:rsidRPr="00351C69">
        <w:rPr>
          <w:b/>
          <w:bCs/>
          <w:lang w:val="en-US"/>
        </w:rPr>
        <w:t>EN-DC to NR;</w:t>
      </w:r>
    </w:p>
    <w:p w14:paraId="78FEBBEF" w14:textId="77777777" w:rsidR="00A05CC1" w:rsidRPr="00351C69" w:rsidRDefault="00A05CC1" w:rsidP="00A05CC1">
      <w:pPr>
        <w:pStyle w:val="ListParagraph"/>
        <w:numPr>
          <w:ilvl w:val="0"/>
          <w:numId w:val="47"/>
        </w:numPr>
        <w:rPr>
          <w:b/>
          <w:bCs/>
          <w:lang w:val="en-US"/>
        </w:rPr>
      </w:pPr>
      <w:r w:rsidRPr="00351C69">
        <w:rPr>
          <w:b/>
          <w:bCs/>
          <w:lang w:val="en-US"/>
        </w:rPr>
        <w:t>NGEN-DC to E-UTRA with EPC;</w:t>
      </w:r>
    </w:p>
    <w:p w14:paraId="5F7CC891" w14:textId="77777777" w:rsidR="00A05CC1" w:rsidRPr="00351C69" w:rsidRDefault="00A05CC1" w:rsidP="00A05CC1">
      <w:pPr>
        <w:pStyle w:val="ListParagraph"/>
        <w:numPr>
          <w:ilvl w:val="0"/>
          <w:numId w:val="47"/>
        </w:numPr>
        <w:rPr>
          <w:b/>
          <w:bCs/>
          <w:lang w:val="en-US"/>
        </w:rPr>
      </w:pPr>
      <w:r w:rsidRPr="00351C69">
        <w:rPr>
          <w:b/>
          <w:bCs/>
          <w:lang w:val="en-US"/>
        </w:rPr>
        <w:t>NE-DC to E-UTRA with EPC;</w:t>
      </w:r>
    </w:p>
    <w:p w14:paraId="51274F8C" w14:textId="77777777" w:rsidR="00A05CC1" w:rsidRPr="00351C69" w:rsidRDefault="00A05CC1" w:rsidP="00A05CC1">
      <w:pPr>
        <w:pStyle w:val="ListParagraph"/>
        <w:numPr>
          <w:ilvl w:val="0"/>
          <w:numId w:val="47"/>
        </w:numPr>
        <w:rPr>
          <w:b/>
          <w:bCs/>
          <w:lang w:val="en-US"/>
        </w:rPr>
      </w:pPr>
      <w:r w:rsidRPr="00351C69">
        <w:rPr>
          <w:b/>
          <w:bCs/>
          <w:lang w:val="en-US"/>
        </w:rPr>
        <w:t>NR-DC to E-UTRA with EPC.</w:t>
      </w:r>
    </w:p>
    <w:p w14:paraId="327AF7BD" w14:textId="6C2384C6" w:rsidR="00511262" w:rsidRDefault="00A05CC1" w:rsidP="00A05CC1">
      <w:pPr>
        <w:spacing w:before="120" w:after="0"/>
      </w:pPr>
      <w:r w:rsidRPr="00351C69">
        <w:rPr>
          <w:b/>
          <w:bCs/>
          <w:lang w:val="en-US"/>
        </w:rPr>
        <w:t>Proposal 2. No additional MR-DC handover scenarios other than those in Table B-1, TS 37.340, should be supported for the Fast MCG recovery procedure.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680E2A61" w14:textId="45A29D49" w:rsidR="00B92C34" w:rsidRDefault="00E85CB2" w:rsidP="00B92C34">
      <w:pPr>
        <w:rPr>
          <w:bCs/>
        </w:rPr>
      </w:pPr>
      <w:r w:rsidRPr="007D6342">
        <w:rPr>
          <w:bCs/>
        </w:rPr>
        <w:t>[</w:t>
      </w:r>
      <w:r w:rsidR="0023568F">
        <w:rPr>
          <w:bCs/>
        </w:rPr>
        <w:t>1</w:t>
      </w:r>
      <w:r w:rsidRPr="007D6342">
        <w:rPr>
          <w:bCs/>
        </w:rPr>
        <w:t xml:space="preserve">] </w:t>
      </w:r>
      <w:r w:rsidR="00B92C34">
        <w:rPr>
          <w:bCs/>
        </w:rPr>
        <w:t xml:space="preserve">Chairman notes, </w:t>
      </w:r>
      <w:r w:rsidR="008A4AB9">
        <w:rPr>
          <w:bCs/>
        </w:rPr>
        <w:t>RAN2 #10</w:t>
      </w:r>
      <w:r w:rsidR="004F4356">
        <w:rPr>
          <w:bCs/>
        </w:rPr>
        <w:t>9-e</w:t>
      </w:r>
      <w:r w:rsidR="00B92C34">
        <w:rPr>
          <w:bCs/>
        </w:rPr>
        <w:t>.</w:t>
      </w:r>
    </w:p>
    <w:p w14:paraId="0A78E63E" w14:textId="21A5D8F4" w:rsidR="002A5E63" w:rsidRDefault="002A5E63" w:rsidP="00B92C34">
      <w:pPr>
        <w:rPr>
          <w:bCs/>
        </w:rPr>
      </w:pPr>
      <w:r>
        <w:rPr>
          <w:bCs/>
        </w:rPr>
        <w:t xml:space="preserve">[2] </w:t>
      </w:r>
      <w:r w:rsidR="003A6021">
        <w:rPr>
          <w:bCs/>
        </w:rPr>
        <w:t xml:space="preserve">3GPP </w:t>
      </w:r>
      <w:r w:rsidR="003A4761">
        <w:rPr>
          <w:bCs/>
        </w:rPr>
        <w:t>TS 37.340</w:t>
      </w:r>
      <w:r w:rsidR="00646D89">
        <w:rPr>
          <w:bCs/>
        </w:rPr>
        <w:t xml:space="preserve">: E-UTRA and NR; </w:t>
      </w:r>
      <w:r w:rsidR="001F0DC9">
        <w:rPr>
          <w:bCs/>
        </w:rPr>
        <w:t>Multi</w:t>
      </w:r>
      <w:r w:rsidR="00CF1FBA">
        <w:rPr>
          <w:bCs/>
        </w:rPr>
        <w:t>-</w:t>
      </w:r>
      <w:r w:rsidR="001F0DC9">
        <w:rPr>
          <w:bCs/>
        </w:rPr>
        <w:t>connectivity; Stage 2.</w:t>
      </w:r>
    </w:p>
    <w:p w14:paraId="7280DDFB" w14:textId="54F8B706" w:rsidR="00083F2B" w:rsidRDefault="00083F2B" w:rsidP="00B92C34">
      <w:pPr>
        <w:rPr>
          <w:bCs/>
        </w:rPr>
      </w:pPr>
      <w:r>
        <w:rPr>
          <w:bCs/>
        </w:rPr>
        <w:lastRenderedPageBreak/>
        <w:t>[3]</w:t>
      </w:r>
      <w:r w:rsidR="00DB4EB4">
        <w:rPr>
          <w:bCs/>
        </w:rPr>
        <w:t xml:space="preserve"> </w:t>
      </w:r>
      <w:r w:rsidR="00F21D51">
        <w:rPr>
          <w:bCs/>
        </w:rPr>
        <w:t xml:space="preserve">3GPP Tdoc </w:t>
      </w:r>
      <w:r w:rsidR="00DB4EB4" w:rsidRPr="00DB4EB4">
        <w:rPr>
          <w:bCs/>
        </w:rPr>
        <w:t>R2-2001248, Running CR for 36.331 for CA/DC Enhancements</w:t>
      </w:r>
      <w:r w:rsidR="00F21D51">
        <w:rPr>
          <w:bCs/>
        </w:rPr>
        <w:t>.</w:t>
      </w:r>
    </w:p>
    <w:p w14:paraId="3E40A6B6" w14:textId="67E7466D" w:rsidR="00083F2B" w:rsidRPr="00422ED5" w:rsidRDefault="00083F2B" w:rsidP="00B92C34">
      <w:pPr>
        <w:rPr>
          <w:bCs/>
        </w:rPr>
      </w:pPr>
      <w:r>
        <w:rPr>
          <w:bCs/>
        </w:rPr>
        <w:t>[4]</w:t>
      </w:r>
      <w:r w:rsidR="00294777">
        <w:rPr>
          <w:bCs/>
        </w:rPr>
        <w:t xml:space="preserve"> 3GPP Tdoc</w:t>
      </w:r>
      <w:r>
        <w:rPr>
          <w:bCs/>
        </w:rPr>
        <w:t xml:space="preserve"> </w:t>
      </w:r>
      <w:r w:rsidR="00F80004" w:rsidRPr="00F80004">
        <w:rPr>
          <w:bCs/>
        </w:rPr>
        <w:t>R2-2001249, Running CR for 38.331 on CA/DC Enhancements</w:t>
      </w:r>
      <w:r w:rsidR="00F80004">
        <w:rPr>
          <w:bCs/>
        </w:rPr>
        <w:t>.</w:t>
      </w:r>
    </w:p>
    <w:p w14:paraId="3DC14E33" w14:textId="09F597DC" w:rsidR="00B14D9C" w:rsidRPr="00422ED5" w:rsidRDefault="00B14D9C">
      <w:pPr>
        <w:rPr>
          <w:bCs/>
        </w:rPr>
      </w:pPr>
    </w:p>
    <w:sectPr w:rsidR="00B14D9C" w:rsidRPr="00422ED5" w:rsidSect="00EF58A6">
      <w:footerReference w:type="default" r:id="rId9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345DB" w14:textId="77777777" w:rsidR="00255362" w:rsidRDefault="00255362">
      <w:pPr>
        <w:spacing w:after="0"/>
      </w:pPr>
      <w:r>
        <w:separator/>
      </w:r>
    </w:p>
  </w:endnote>
  <w:endnote w:type="continuationSeparator" w:id="0">
    <w:p w14:paraId="2B9EF6F4" w14:textId="77777777" w:rsidR="00255362" w:rsidRDefault="002553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20F2B" w14:textId="77777777" w:rsidR="00255362" w:rsidRDefault="00255362">
      <w:pPr>
        <w:spacing w:after="0"/>
      </w:pPr>
      <w:r>
        <w:separator/>
      </w:r>
    </w:p>
  </w:footnote>
  <w:footnote w:type="continuationSeparator" w:id="0">
    <w:p w14:paraId="6523EE1C" w14:textId="77777777" w:rsidR="00255362" w:rsidRDefault="002553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85297"/>
    <w:multiLevelType w:val="hybridMultilevel"/>
    <w:tmpl w:val="46C0B3B2"/>
    <w:lvl w:ilvl="0" w:tplc="040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 w15:restartNumberingAfterBreak="0">
    <w:nsid w:val="016362BE"/>
    <w:multiLevelType w:val="hybridMultilevel"/>
    <w:tmpl w:val="7FF687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F4F4B"/>
    <w:multiLevelType w:val="hybridMultilevel"/>
    <w:tmpl w:val="4E4C1334"/>
    <w:lvl w:ilvl="0" w:tplc="9354A396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E4610"/>
    <w:multiLevelType w:val="hybridMultilevel"/>
    <w:tmpl w:val="B1766B2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7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9" w15:restartNumberingAfterBreak="0">
    <w:nsid w:val="1B1B1003"/>
    <w:multiLevelType w:val="hybridMultilevel"/>
    <w:tmpl w:val="10480B80"/>
    <w:lvl w:ilvl="0" w:tplc="42BEFE2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62FDB"/>
    <w:multiLevelType w:val="hybridMultilevel"/>
    <w:tmpl w:val="DA825A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53C0A80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CE6C1A"/>
    <w:multiLevelType w:val="hybridMultilevel"/>
    <w:tmpl w:val="4198B75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2E40A7"/>
    <w:multiLevelType w:val="hybridMultilevel"/>
    <w:tmpl w:val="06AC3C0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4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8F2AAD"/>
    <w:multiLevelType w:val="hybridMultilevel"/>
    <w:tmpl w:val="4F88997E"/>
    <w:lvl w:ilvl="0" w:tplc="21AC4B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34CCD2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11048C"/>
    <w:multiLevelType w:val="hybridMultilevel"/>
    <w:tmpl w:val="48FA07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97262"/>
    <w:multiLevelType w:val="hybridMultilevel"/>
    <w:tmpl w:val="D220D1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F94D37"/>
    <w:multiLevelType w:val="hybridMultilevel"/>
    <w:tmpl w:val="5F1ACCF6"/>
    <w:lvl w:ilvl="0" w:tplc="D55CB55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2E715B8"/>
    <w:multiLevelType w:val="multilevel"/>
    <w:tmpl w:val="E6C46D56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8B1F4B"/>
    <w:multiLevelType w:val="hybridMultilevel"/>
    <w:tmpl w:val="21D0A1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8B1D7A"/>
    <w:multiLevelType w:val="hybridMultilevel"/>
    <w:tmpl w:val="1B8E7968"/>
    <w:lvl w:ilvl="0" w:tplc="04090005">
      <w:start w:val="1"/>
      <w:numFmt w:val="bullet"/>
      <w:lvlText w:val=""/>
      <w:lvlJc w:val="left"/>
      <w:pPr>
        <w:ind w:left="8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5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6" w15:restartNumberingAfterBreak="0">
    <w:nsid w:val="406D4887"/>
    <w:multiLevelType w:val="hybridMultilevel"/>
    <w:tmpl w:val="38ACA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A94E53"/>
    <w:multiLevelType w:val="hybridMultilevel"/>
    <w:tmpl w:val="21FAF012"/>
    <w:lvl w:ilvl="0" w:tplc="D620296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7A713D"/>
    <w:multiLevelType w:val="hybridMultilevel"/>
    <w:tmpl w:val="ABB48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945C20">
      <w:start w:val="1"/>
      <w:numFmt w:val="lowerLetter"/>
      <w:lvlText w:val="%2."/>
      <w:lvlJc w:val="left"/>
      <w:pPr>
        <w:ind w:left="1440" w:hanging="360"/>
      </w:pPr>
      <w:rPr>
        <w:color w:val="0070C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4D385D"/>
    <w:multiLevelType w:val="hybridMultilevel"/>
    <w:tmpl w:val="22F20B1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1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187DDF"/>
    <w:multiLevelType w:val="hybridMultilevel"/>
    <w:tmpl w:val="799279D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FC30BF"/>
    <w:multiLevelType w:val="hybridMultilevel"/>
    <w:tmpl w:val="E9CA9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7" w15:restartNumberingAfterBreak="0">
    <w:nsid w:val="6E602859"/>
    <w:multiLevelType w:val="hybridMultilevel"/>
    <w:tmpl w:val="88B64DE4"/>
    <w:lvl w:ilvl="0" w:tplc="E52C88C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1320A1"/>
    <w:multiLevelType w:val="hybridMultilevel"/>
    <w:tmpl w:val="D2CC5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21C3B26">
      <w:start w:val="1"/>
      <w:numFmt w:val="lowerLetter"/>
      <w:lvlText w:val="%2."/>
      <w:lvlJc w:val="left"/>
      <w:pPr>
        <w:ind w:left="1440" w:hanging="360"/>
      </w:pPr>
      <w:rPr>
        <w:color w:val="0070C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F6738B"/>
    <w:multiLevelType w:val="hybridMultilevel"/>
    <w:tmpl w:val="FC7006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7"/>
  </w:num>
  <w:num w:numId="4">
    <w:abstractNumId w:val="6"/>
  </w:num>
  <w:num w:numId="5">
    <w:abstractNumId w:val="1"/>
  </w:num>
  <w:num w:numId="6">
    <w:abstractNumId w:val="1"/>
  </w:num>
  <w:num w:numId="7">
    <w:abstractNumId w:val="1"/>
  </w:num>
  <w:num w:numId="8">
    <w:abstractNumId w:val="33"/>
  </w:num>
  <w:num w:numId="9">
    <w:abstractNumId w:val="20"/>
  </w:num>
  <w:num w:numId="10">
    <w:abstractNumId w:val="4"/>
  </w:num>
  <w:num w:numId="11">
    <w:abstractNumId w:val="1"/>
  </w:num>
  <w:num w:numId="12">
    <w:abstractNumId w:val="36"/>
  </w:num>
  <w:num w:numId="13">
    <w:abstractNumId w:val="36"/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8"/>
  </w:num>
  <w:num w:numId="17">
    <w:abstractNumId w:val="16"/>
  </w:num>
  <w:num w:numId="18">
    <w:abstractNumId w:val="22"/>
  </w:num>
  <w:num w:numId="19">
    <w:abstractNumId w:val="34"/>
  </w:num>
  <w:num w:numId="20">
    <w:abstractNumId w:val="30"/>
  </w:num>
  <w:num w:numId="21">
    <w:abstractNumId w:val="40"/>
  </w:num>
  <w:num w:numId="22">
    <w:abstractNumId w:val="14"/>
  </w:num>
  <w:num w:numId="23">
    <w:abstractNumId w:val="37"/>
  </w:num>
  <w:num w:numId="24">
    <w:abstractNumId w:val="9"/>
  </w:num>
  <w:num w:numId="25">
    <w:abstractNumId w:val="0"/>
  </w:num>
  <w:num w:numId="26">
    <w:abstractNumId w:val="3"/>
  </w:num>
  <w:num w:numId="27">
    <w:abstractNumId w:val="23"/>
  </w:num>
  <w:num w:numId="28">
    <w:abstractNumId w:val="19"/>
  </w:num>
  <w:num w:numId="29">
    <w:abstractNumId w:val="27"/>
  </w:num>
  <w:num w:numId="30">
    <w:abstractNumId w:val="2"/>
  </w:num>
  <w:num w:numId="31">
    <w:abstractNumId w:val="26"/>
  </w:num>
  <w:num w:numId="32">
    <w:abstractNumId w:val="24"/>
  </w:num>
  <w:num w:numId="33">
    <w:abstractNumId w:val="35"/>
  </w:num>
  <w:num w:numId="34">
    <w:abstractNumId w:val="12"/>
  </w:num>
  <w:num w:numId="35">
    <w:abstractNumId w:val="17"/>
  </w:num>
  <w:num w:numId="36">
    <w:abstractNumId w:val="21"/>
  </w:num>
  <w:num w:numId="37">
    <w:abstractNumId w:val="10"/>
  </w:num>
  <w:num w:numId="38">
    <w:abstractNumId w:val="28"/>
  </w:num>
  <w:num w:numId="39">
    <w:abstractNumId w:val="38"/>
  </w:num>
  <w:num w:numId="40">
    <w:abstractNumId w:val="19"/>
  </w:num>
  <w:num w:numId="41">
    <w:abstractNumId w:val="18"/>
  </w:num>
  <w:num w:numId="42">
    <w:abstractNumId w:val="15"/>
  </w:num>
  <w:num w:numId="43">
    <w:abstractNumId w:val="32"/>
  </w:num>
  <w:num w:numId="44">
    <w:abstractNumId w:val="39"/>
  </w:num>
  <w:num w:numId="45">
    <w:abstractNumId w:val="11"/>
  </w:num>
  <w:num w:numId="46">
    <w:abstractNumId w:val="5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582"/>
    <w:rsid w:val="0000173D"/>
    <w:rsid w:val="0000546D"/>
    <w:rsid w:val="0000569E"/>
    <w:rsid w:val="000100D8"/>
    <w:rsid w:val="000103ED"/>
    <w:rsid w:val="00010891"/>
    <w:rsid w:val="00010FB6"/>
    <w:rsid w:val="000115D3"/>
    <w:rsid w:val="00011E0C"/>
    <w:rsid w:val="00011F78"/>
    <w:rsid w:val="00012CB3"/>
    <w:rsid w:val="000137C4"/>
    <w:rsid w:val="00014EDB"/>
    <w:rsid w:val="00015923"/>
    <w:rsid w:val="00015B61"/>
    <w:rsid w:val="000173BE"/>
    <w:rsid w:val="000200A3"/>
    <w:rsid w:val="00020C39"/>
    <w:rsid w:val="00021CC3"/>
    <w:rsid w:val="00024406"/>
    <w:rsid w:val="0002474D"/>
    <w:rsid w:val="00026170"/>
    <w:rsid w:val="00026268"/>
    <w:rsid w:val="00027E6E"/>
    <w:rsid w:val="00030533"/>
    <w:rsid w:val="000306BA"/>
    <w:rsid w:val="00032245"/>
    <w:rsid w:val="00036628"/>
    <w:rsid w:val="00040283"/>
    <w:rsid w:val="000500AF"/>
    <w:rsid w:val="00052BBC"/>
    <w:rsid w:val="00057333"/>
    <w:rsid w:val="00057DF1"/>
    <w:rsid w:val="00061597"/>
    <w:rsid w:val="00061E76"/>
    <w:rsid w:val="00062FAF"/>
    <w:rsid w:val="00063F78"/>
    <w:rsid w:val="00064F60"/>
    <w:rsid w:val="00067F71"/>
    <w:rsid w:val="0007084B"/>
    <w:rsid w:val="0007192F"/>
    <w:rsid w:val="0008044C"/>
    <w:rsid w:val="00080A0C"/>
    <w:rsid w:val="00081933"/>
    <w:rsid w:val="00083554"/>
    <w:rsid w:val="0008364D"/>
    <w:rsid w:val="00083F2B"/>
    <w:rsid w:val="00085D6C"/>
    <w:rsid w:val="000868BB"/>
    <w:rsid w:val="000875F0"/>
    <w:rsid w:val="00091B15"/>
    <w:rsid w:val="00093832"/>
    <w:rsid w:val="000945F9"/>
    <w:rsid w:val="000947BD"/>
    <w:rsid w:val="00094EA9"/>
    <w:rsid w:val="00096750"/>
    <w:rsid w:val="000A3CC6"/>
    <w:rsid w:val="000A6250"/>
    <w:rsid w:val="000A75D9"/>
    <w:rsid w:val="000B24BB"/>
    <w:rsid w:val="000B3DCB"/>
    <w:rsid w:val="000B414D"/>
    <w:rsid w:val="000B44B1"/>
    <w:rsid w:val="000B46A8"/>
    <w:rsid w:val="000B53D6"/>
    <w:rsid w:val="000B7B8C"/>
    <w:rsid w:val="000C1614"/>
    <w:rsid w:val="000C1716"/>
    <w:rsid w:val="000C3C9E"/>
    <w:rsid w:val="000C3CB0"/>
    <w:rsid w:val="000C528A"/>
    <w:rsid w:val="000C5A8E"/>
    <w:rsid w:val="000C6A32"/>
    <w:rsid w:val="000D093E"/>
    <w:rsid w:val="000D0CDD"/>
    <w:rsid w:val="000D2F92"/>
    <w:rsid w:val="000D5154"/>
    <w:rsid w:val="000D5878"/>
    <w:rsid w:val="000D7066"/>
    <w:rsid w:val="000D7762"/>
    <w:rsid w:val="000E0BB8"/>
    <w:rsid w:val="000E41F4"/>
    <w:rsid w:val="000E433E"/>
    <w:rsid w:val="000E6201"/>
    <w:rsid w:val="000F218C"/>
    <w:rsid w:val="000F24AA"/>
    <w:rsid w:val="000F3066"/>
    <w:rsid w:val="000F32DC"/>
    <w:rsid w:val="000F416D"/>
    <w:rsid w:val="000F49D3"/>
    <w:rsid w:val="000F6A06"/>
    <w:rsid w:val="000F738F"/>
    <w:rsid w:val="000F7E97"/>
    <w:rsid w:val="001015D3"/>
    <w:rsid w:val="00101E18"/>
    <w:rsid w:val="001025DF"/>
    <w:rsid w:val="00106B21"/>
    <w:rsid w:val="0011208D"/>
    <w:rsid w:val="001176F3"/>
    <w:rsid w:val="00121EC5"/>
    <w:rsid w:val="001231A8"/>
    <w:rsid w:val="00123483"/>
    <w:rsid w:val="00124350"/>
    <w:rsid w:val="00127459"/>
    <w:rsid w:val="001303FF"/>
    <w:rsid w:val="00130E9D"/>
    <w:rsid w:val="00131BBA"/>
    <w:rsid w:val="0013297D"/>
    <w:rsid w:val="00134FCA"/>
    <w:rsid w:val="001356EB"/>
    <w:rsid w:val="00140B01"/>
    <w:rsid w:val="001413EB"/>
    <w:rsid w:val="00142206"/>
    <w:rsid w:val="001425BC"/>
    <w:rsid w:val="00143194"/>
    <w:rsid w:val="00146F81"/>
    <w:rsid w:val="0015091A"/>
    <w:rsid w:val="00152D52"/>
    <w:rsid w:val="001533AD"/>
    <w:rsid w:val="00153A86"/>
    <w:rsid w:val="001611B3"/>
    <w:rsid w:val="00163823"/>
    <w:rsid w:val="00164F27"/>
    <w:rsid w:val="00167317"/>
    <w:rsid w:val="00173299"/>
    <w:rsid w:val="001740B6"/>
    <w:rsid w:val="001745E3"/>
    <w:rsid w:val="0017542F"/>
    <w:rsid w:val="00177E2A"/>
    <w:rsid w:val="00182670"/>
    <w:rsid w:val="00183B28"/>
    <w:rsid w:val="00183B88"/>
    <w:rsid w:val="0018594C"/>
    <w:rsid w:val="001962D1"/>
    <w:rsid w:val="00197187"/>
    <w:rsid w:val="001A1FA4"/>
    <w:rsid w:val="001A2948"/>
    <w:rsid w:val="001A5DC3"/>
    <w:rsid w:val="001A7AB3"/>
    <w:rsid w:val="001B0F44"/>
    <w:rsid w:val="001B3B14"/>
    <w:rsid w:val="001B4C16"/>
    <w:rsid w:val="001B55B0"/>
    <w:rsid w:val="001B5FC6"/>
    <w:rsid w:val="001C3231"/>
    <w:rsid w:val="001D1B8E"/>
    <w:rsid w:val="001D471D"/>
    <w:rsid w:val="001D7963"/>
    <w:rsid w:val="001E04AF"/>
    <w:rsid w:val="001E25DC"/>
    <w:rsid w:val="001E3864"/>
    <w:rsid w:val="001E473A"/>
    <w:rsid w:val="001E66ED"/>
    <w:rsid w:val="001E6ECD"/>
    <w:rsid w:val="001F049A"/>
    <w:rsid w:val="001F0679"/>
    <w:rsid w:val="001F0DC9"/>
    <w:rsid w:val="001F3AF9"/>
    <w:rsid w:val="001F4437"/>
    <w:rsid w:val="001F54E1"/>
    <w:rsid w:val="0020099F"/>
    <w:rsid w:val="002015AD"/>
    <w:rsid w:val="00202DAD"/>
    <w:rsid w:val="00203C73"/>
    <w:rsid w:val="0021098B"/>
    <w:rsid w:val="002127A6"/>
    <w:rsid w:val="00212F4B"/>
    <w:rsid w:val="00213A8C"/>
    <w:rsid w:val="00214E41"/>
    <w:rsid w:val="00215583"/>
    <w:rsid w:val="0021776C"/>
    <w:rsid w:val="002206FA"/>
    <w:rsid w:val="00221FA9"/>
    <w:rsid w:val="002232E5"/>
    <w:rsid w:val="0022650B"/>
    <w:rsid w:val="00227643"/>
    <w:rsid w:val="0023300C"/>
    <w:rsid w:val="00234478"/>
    <w:rsid w:val="00234B81"/>
    <w:rsid w:val="0023568F"/>
    <w:rsid w:val="002400F7"/>
    <w:rsid w:val="00242C9C"/>
    <w:rsid w:val="002434EE"/>
    <w:rsid w:val="00245FBB"/>
    <w:rsid w:val="0024708B"/>
    <w:rsid w:val="002519BA"/>
    <w:rsid w:val="00254273"/>
    <w:rsid w:val="00255362"/>
    <w:rsid w:val="00256C07"/>
    <w:rsid w:val="00260062"/>
    <w:rsid w:val="00265670"/>
    <w:rsid w:val="00265A38"/>
    <w:rsid w:val="002709D5"/>
    <w:rsid w:val="00271F5A"/>
    <w:rsid w:val="002724BF"/>
    <w:rsid w:val="00273DCB"/>
    <w:rsid w:val="00274B59"/>
    <w:rsid w:val="00274DEB"/>
    <w:rsid w:val="00275752"/>
    <w:rsid w:val="002762D8"/>
    <w:rsid w:val="00277098"/>
    <w:rsid w:val="0027783C"/>
    <w:rsid w:val="002845CE"/>
    <w:rsid w:val="0028505A"/>
    <w:rsid w:val="00285CA4"/>
    <w:rsid w:val="00286353"/>
    <w:rsid w:val="0029297D"/>
    <w:rsid w:val="00292A3A"/>
    <w:rsid w:val="00293B03"/>
    <w:rsid w:val="00294454"/>
    <w:rsid w:val="00294777"/>
    <w:rsid w:val="002966C2"/>
    <w:rsid w:val="002A124C"/>
    <w:rsid w:val="002A5E63"/>
    <w:rsid w:val="002A5F86"/>
    <w:rsid w:val="002A62B3"/>
    <w:rsid w:val="002A655B"/>
    <w:rsid w:val="002B185C"/>
    <w:rsid w:val="002B27B1"/>
    <w:rsid w:val="002B2CA2"/>
    <w:rsid w:val="002B3BA3"/>
    <w:rsid w:val="002B5382"/>
    <w:rsid w:val="002B5F42"/>
    <w:rsid w:val="002C2955"/>
    <w:rsid w:val="002C2966"/>
    <w:rsid w:val="002C436C"/>
    <w:rsid w:val="002C5618"/>
    <w:rsid w:val="002C6ECD"/>
    <w:rsid w:val="002C778E"/>
    <w:rsid w:val="002D259B"/>
    <w:rsid w:val="002D3511"/>
    <w:rsid w:val="002D639F"/>
    <w:rsid w:val="002D761D"/>
    <w:rsid w:val="002E2708"/>
    <w:rsid w:val="002E6A4A"/>
    <w:rsid w:val="002F1BE0"/>
    <w:rsid w:val="002F45F2"/>
    <w:rsid w:val="002F6F72"/>
    <w:rsid w:val="002F7DA6"/>
    <w:rsid w:val="003013AD"/>
    <w:rsid w:val="00301707"/>
    <w:rsid w:val="00302862"/>
    <w:rsid w:val="0030336A"/>
    <w:rsid w:val="003058BC"/>
    <w:rsid w:val="003104CB"/>
    <w:rsid w:val="003202A6"/>
    <w:rsid w:val="003205FB"/>
    <w:rsid w:val="00321733"/>
    <w:rsid w:val="003221BB"/>
    <w:rsid w:val="003246A1"/>
    <w:rsid w:val="003318B3"/>
    <w:rsid w:val="00331B48"/>
    <w:rsid w:val="0033520C"/>
    <w:rsid w:val="00342A61"/>
    <w:rsid w:val="00344330"/>
    <w:rsid w:val="00345D51"/>
    <w:rsid w:val="003464FC"/>
    <w:rsid w:val="00346F3D"/>
    <w:rsid w:val="003477E4"/>
    <w:rsid w:val="00351C69"/>
    <w:rsid w:val="0035239F"/>
    <w:rsid w:val="0035243B"/>
    <w:rsid w:val="00352D04"/>
    <w:rsid w:val="003611A8"/>
    <w:rsid w:val="00361CD5"/>
    <w:rsid w:val="003639E1"/>
    <w:rsid w:val="00364115"/>
    <w:rsid w:val="00364CFF"/>
    <w:rsid w:val="00367B6E"/>
    <w:rsid w:val="00376B24"/>
    <w:rsid w:val="003771F5"/>
    <w:rsid w:val="003813FB"/>
    <w:rsid w:val="003824AF"/>
    <w:rsid w:val="003825F5"/>
    <w:rsid w:val="00383DFB"/>
    <w:rsid w:val="00384EE8"/>
    <w:rsid w:val="003852BF"/>
    <w:rsid w:val="003935E5"/>
    <w:rsid w:val="00394EBA"/>
    <w:rsid w:val="003A047C"/>
    <w:rsid w:val="003A14C3"/>
    <w:rsid w:val="003A25D0"/>
    <w:rsid w:val="003A464D"/>
    <w:rsid w:val="003A4761"/>
    <w:rsid w:val="003A4CE0"/>
    <w:rsid w:val="003A6021"/>
    <w:rsid w:val="003A71E2"/>
    <w:rsid w:val="003B10D1"/>
    <w:rsid w:val="003B6EED"/>
    <w:rsid w:val="003B74D9"/>
    <w:rsid w:val="003C2FD7"/>
    <w:rsid w:val="003C4883"/>
    <w:rsid w:val="003C5A45"/>
    <w:rsid w:val="003C7B12"/>
    <w:rsid w:val="003C7B67"/>
    <w:rsid w:val="003D0207"/>
    <w:rsid w:val="003D1617"/>
    <w:rsid w:val="003D45D8"/>
    <w:rsid w:val="003E1345"/>
    <w:rsid w:val="003E6975"/>
    <w:rsid w:val="003E6CCD"/>
    <w:rsid w:val="003E6D64"/>
    <w:rsid w:val="003E6E06"/>
    <w:rsid w:val="003F06C2"/>
    <w:rsid w:val="003F258C"/>
    <w:rsid w:val="003F2954"/>
    <w:rsid w:val="003F541F"/>
    <w:rsid w:val="003F603C"/>
    <w:rsid w:val="00401270"/>
    <w:rsid w:val="004020D2"/>
    <w:rsid w:val="004100AF"/>
    <w:rsid w:val="00414189"/>
    <w:rsid w:val="0041529E"/>
    <w:rsid w:val="0041550C"/>
    <w:rsid w:val="004178BE"/>
    <w:rsid w:val="00420597"/>
    <w:rsid w:val="0042068C"/>
    <w:rsid w:val="004209F9"/>
    <w:rsid w:val="004213FE"/>
    <w:rsid w:val="004229A7"/>
    <w:rsid w:val="00422ED5"/>
    <w:rsid w:val="004245B7"/>
    <w:rsid w:val="004246EC"/>
    <w:rsid w:val="004250FB"/>
    <w:rsid w:val="00427D5E"/>
    <w:rsid w:val="00430374"/>
    <w:rsid w:val="00430A95"/>
    <w:rsid w:val="00433AA8"/>
    <w:rsid w:val="00436137"/>
    <w:rsid w:val="00437E5A"/>
    <w:rsid w:val="00442960"/>
    <w:rsid w:val="00443D17"/>
    <w:rsid w:val="00443F0D"/>
    <w:rsid w:val="00444548"/>
    <w:rsid w:val="00447C93"/>
    <w:rsid w:val="00450472"/>
    <w:rsid w:val="00450EAC"/>
    <w:rsid w:val="00451C85"/>
    <w:rsid w:val="00460455"/>
    <w:rsid w:val="004607C0"/>
    <w:rsid w:val="004615FD"/>
    <w:rsid w:val="004642EE"/>
    <w:rsid w:val="0047323C"/>
    <w:rsid w:val="0047398D"/>
    <w:rsid w:val="00474373"/>
    <w:rsid w:val="004775F2"/>
    <w:rsid w:val="00481AE3"/>
    <w:rsid w:val="00481B86"/>
    <w:rsid w:val="00481BBD"/>
    <w:rsid w:val="00481F8B"/>
    <w:rsid w:val="004825B1"/>
    <w:rsid w:val="0048464E"/>
    <w:rsid w:val="0048485F"/>
    <w:rsid w:val="00486A20"/>
    <w:rsid w:val="004877DA"/>
    <w:rsid w:val="00487BC5"/>
    <w:rsid w:val="004971A9"/>
    <w:rsid w:val="004A07E6"/>
    <w:rsid w:val="004A2DBA"/>
    <w:rsid w:val="004A3683"/>
    <w:rsid w:val="004A428D"/>
    <w:rsid w:val="004A46F7"/>
    <w:rsid w:val="004A5624"/>
    <w:rsid w:val="004A6973"/>
    <w:rsid w:val="004B055D"/>
    <w:rsid w:val="004B0829"/>
    <w:rsid w:val="004B1F11"/>
    <w:rsid w:val="004B2F34"/>
    <w:rsid w:val="004B3FFC"/>
    <w:rsid w:val="004B7200"/>
    <w:rsid w:val="004C070E"/>
    <w:rsid w:val="004C0DF7"/>
    <w:rsid w:val="004C1697"/>
    <w:rsid w:val="004C315F"/>
    <w:rsid w:val="004C3776"/>
    <w:rsid w:val="004C39D3"/>
    <w:rsid w:val="004C3D32"/>
    <w:rsid w:val="004C467F"/>
    <w:rsid w:val="004C4B75"/>
    <w:rsid w:val="004D04B1"/>
    <w:rsid w:val="004D2E87"/>
    <w:rsid w:val="004D5E25"/>
    <w:rsid w:val="004D6428"/>
    <w:rsid w:val="004D6569"/>
    <w:rsid w:val="004D7435"/>
    <w:rsid w:val="004D7BC8"/>
    <w:rsid w:val="004E2714"/>
    <w:rsid w:val="004E38A1"/>
    <w:rsid w:val="004E5CE3"/>
    <w:rsid w:val="004E7A86"/>
    <w:rsid w:val="004F1DBF"/>
    <w:rsid w:val="004F2342"/>
    <w:rsid w:val="004F28C2"/>
    <w:rsid w:val="004F3FC3"/>
    <w:rsid w:val="004F4356"/>
    <w:rsid w:val="004F49A5"/>
    <w:rsid w:val="004F4C7F"/>
    <w:rsid w:val="00505087"/>
    <w:rsid w:val="00505B01"/>
    <w:rsid w:val="00511262"/>
    <w:rsid w:val="00512905"/>
    <w:rsid w:val="00512C36"/>
    <w:rsid w:val="00512F07"/>
    <w:rsid w:val="0051303E"/>
    <w:rsid w:val="00517396"/>
    <w:rsid w:val="00541305"/>
    <w:rsid w:val="0054246F"/>
    <w:rsid w:val="00543CBC"/>
    <w:rsid w:val="005447A6"/>
    <w:rsid w:val="00544D9B"/>
    <w:rsid w:val="00545AE4"/>
    <w:rsid w:val="00547B94"/>
    <w:rsid w:val="00553150"/>
    <w:rsid w:val="00553D84"/>
    <w:rsid w:val="00554A1F"/>
    <w:rsid w:val="00554D0B"/>
    <w:rsid w:val="00556BAA"/>
    <w:rsid w:val="00562819"/>
    <w:rsid w:val="00562E37"/>
    <w:rsid w:val="005630F6"/>
    <w:rsid w:val="005638E1"/>
    <w:rsid w:val="00566822"/>
    <w:rsid w:val="0057052D"/>
    <w:rsid w:val="00571FEB"/>
    <w:rsid w:val="005735A2"/>
    <w:rsid w:val="00573A5B"/>
    <w:rsid w:val="00573BA5"/>
    <w:rsid w:val="0057585B"/>
    <w:rsid w:val="00575CF4"/>
    <w:rsid w:val="005771C7"/>
    <w:rsid w:val="0058014B"/>
    <w:rsid w:val="00581CEF"/>
    <w:rsid w:val="005821EB"/>
    <w:rsid w:val="005875B9"/>
    <w:rsid w:val="005913A3"/>
    <w:rsid w:val="00592866"/>
    <w:rsid w:val="00593733"/>
    <w:rsid w:val="00596072"/>
    <w:rsid w:val="00596151"/>
    <w:rsid w:val="005A1134"/>
    <w:rsid w:val="005A39A1"/>
    <w:rsid w:val="005A5996"/>
    <w:rsid w:val="005A7FD8"/>
    <w:rsid w:val="005B1143"/>
    <w:rsid w:val="005B3ABB"/>
    <w:rsid w:val="005B4652"/>
    <w:rsid w:val="005B55AD"/>
    <w:rsid w:val="005B5716"/>
    <w:rsid w:val="005C0176"/>
    <w:rsid w:val="005C1135"/>
    <w:rsid w:val="005C32A6"/>
    <w:rsid w:val="005C33C0"/>
    <w:rsid w:val="005C3518"/>
    <w:rsid w:val="005D16B1"/>
    <w:rsid w:val="005D1FC0"/>
    <w:rsid w:val="005D3838"/>
    <w:rsid w:val="005D5610"/>
    <w:rsid w:val="005D632D"/>
    <w:rsid w:val="005D71EB"/>
    <w:rsid w:val="005E1D2F"/>
    <w:rsid w:val="005E3123"/>
    <w:rsid w:val="005E4B3F"/>
    <w:rsid w:val="005E4F30"/>
    <w:rsid w:val="005F16CC"/>
    <w:rsid w:val="005F2CC5"/>
    <w:rsid w:val="005F42B5"/>
    <w:rsid w:val="005F5249"/>
    <w:rsid w:val="005F73F2"/>
    <w:rsid w:val="005F7E9C"/>
    <w:rsid w:val="006009BB"/>
    <w:rsid w:val="00603743"/>
    <w:rsid w:val="00603933"/>
    <w:rsid w:val="0060483F"/>
    <w:rsid w:val="00604F95"/>
    <w:rsid w:val="0061321C"/>
    <w:rsid w:val="00615C90"/>
    <w:rsid w:val="00616425"/>
    <w:rsid w:val="00621C49"/>
    <w:rsid w:val="00623527"/>
    <w:rsid w:val="00623785"/>
    <w:rsid w:val="0062467F"/>
    <w:rsid w:val="006254E6"/>
    <w:rsid w:val="00626293"/>
    <w:rsid w:val="00627E92"/>
    <w:rsid w:val="006301B9"/>
    <w:rsid w:val="00634859"/>
    <w:rsid w:val="006351BE"/>
    <w:rsid w:val="00636004"/>
    <w:rsid w:val="006360F1"/>
    <w:rsid w:val="006420AF"/>
    <w:rsid w:val="006420B8"/>
    <w:rsid w:val="006455DF"/>
    <w:rsid w:val="00646884"/>
    <w:rsid w:val="00646896"/>
    <w:rsid w:val="00646D89"/>
    <w:rsid w:val="00647867"/>
    <w:rsid w:val="00650563"/>
    <w:rsid w:val="00650CB6"/>
    <w:rsid w:val="00650CD5"/>
    <w:rsid w:val="00655AD9"/>
    <w:rsid w:val="00655D6C"/>
    <w:rsid w:val="00657B29"/>
    <w:rsid w:val="00662171"/>
    <w:rsid w:val="00663642"/>
    <w:rsid w:val="00665A81"/>
    <w:rsid w:val="00671150"/>
    <w:rsid w:val="00671CBE"/>
    <w:rsid w:val="0067280A"/>
    <w:rsid w:val="00677519"/>
    <w:rsid w:val="0068013F"/>
    <w:rsid w:val="00680310"/>
    <w:rsid w:val="00680432"/>
    <w:rsid w:val="006820BE"/>
    <w:rsid w:val="00683EB1"/>
    <w:rsid w:val="00683ECA"/>
    <w:rsid w:val="006862BD"/>
    <w:rsid w:val="00686CA7"/>
    <w:rsid w:val="00690D95"/>
    <w:rsid w:val="00692E7D"/>
    <w:rsid w:val="00693ED4"/>
    <w:rsid w:val="006942A0"/>
    <w:rsid w:val="006959AB"/>
    <w:rsid w:val="00697768"/>
    <w:rsid w:val="006A174E"/>
    <w:rsid w:val="006A574A"/>
    <w:rsid w:val="006A6255"/>
    <w:rsid w:val="006A6BDF"/>
    <w:rsid w:val="006A6EF4"/>
    <w:rsid w:val="006A7A28"/>
    <w:rsid w:val="006B0056"/>
    <w:rsid w:val="006B1A15"/>
    <w:rsid w:val="006B571F"/>
    <w:rsid w:val="006C083C"/>
    <w:rsid w:val="006C0C24"/>
    <w:rsid w:val="006C0ED0"/>
    <w:rsid w:val="006C1766"/>
    <w:rsid w:val="006C2A0B"/>
    <w:rsid w:val="006C4AB2"/>
    <w:rsid w:val="006C63F4"/>
    <w:rsid w:val="006C7278"/>
    <w:rsid w:val="006C7497"/>
    <w:rsid w:val="006D1718"/>
    <w:rsid w:val="006D2FC4"/>
    <w:rsid w:val="006E0504"/>
    <w:rsid w:val="006E1B67"/>
    <w:rsid w:val="006E2452"/>
    <w:rsid w:val="006E4897"/>
    <w:rsid w:val="006E5733"/>
    <w:rsid w:val="006F03CF"/>
    <w:rsid w:val="006F1A26"/>
    <w:rsid w:val="006F3348"/>
    <w:rsid w:val="006F5413"/>
    <w:rsid w:val="006F6902"/>
    <w:rsid w:val="006F70FD"/>
    <w:rsid w:val="006F7F0B"/>
    <w:rsid w:val="00701A54"/>
    <w:rsid w:val="00705923"/>
    <w:rsid w:val="00707715"/>
    <w:rsid w:val="00710AC5"/>
    <w:rsid w:val="0071236E"/>
    <w:rsid w:val="007129F5"/>
    <w:rsid w:val="00713A0A"/>
    <w:rsid w:val="00714A27"/>
    <w:rsid w:val="00720104"/>
    <w:rsid w:val="00722519"/>
    <w:rsid w:val="0072326E"/>
    <w:rsid w:val="007247A6"/>
    <w:rsid w:val="007303A7"/>
    <w:rsid w:val="0073237D"/>
    <w:rsid w:val="0073238D"/>
    <w:rsid w:val="00735997"/>
    <w:rsid w:val="00737C07"/>
    <w:rsid w:val="00743926"/>
    <w:rsid w:val="00745A87"/>
    <w:rsid w:val="007475C0"/>
    <w:rsid w:val="00750265"/>
    <w:rsid w:val="0075060E"/>
    <w:rsid w:val="00754564"/>
    <w:rsid w:val="00756087"/>
    <w:rsid w:val="0075760D"/>
    <w:rsid w:val="00757F33"/>
    <w:rsid w:val="00760AD4"/>
    <w:rsid w:val="007646C0"/>
    <w:rsid w:val="00766DBC"/>
    <w:rsid w:val="00770DDE"/>
    <w:rsid w:val="007715EE"/>
    <w:rsid w:val="007752D8"/>
    <w:rsid w:val="0077579E"/>
    <w:rsid w:val="00775A03"/>
    <w:rsid w:val="00775E62"/>
    <w:rsid w:val="00786325"/>
    <w:rsid w:val="007917DA"/>
    <w:rsid w:val="0079404B"/>
    <w:rsid w:val="00794CAF"/>
    <w:rsid w:val="00795091"/>
    <w:rsid w:val="00795A12"/>
    <w:rsid w:val="00796B93"/>
    <w:rsid w:val="0079701F"/>
    <w:rsid w:val="007971CF"/>
    <w:rsid w:val="007A273C"/>
    <w:rsid w:val="007A30B8"/>
    <w:rsid w:val="007A3490"/>
    <w:rsid w:val="007A365C"/>
    <w:rsid w:val="007A4DC2"/>
    <w:rsid w:val="007A62AD"/>
    <w:rsid w:val="007A6501"/>
    <w:rsid w:val="007A764E"/>
    <w:rsid w:val="007B20DE"/>
    <w:rsid w:val="007B2616"/>
    <w:rsid w:val="007B2627"/>
    <w:rsid w:val="007B3792"/>
    <w:rsid w:val="007B5E1B"/>
    <w:rsid w:val="007C09F5"/>
    <w:rsid w:val="007C4155"/>
    <w:rsid w:val="007C4E40"/>
    <w:rsid w:val="007D01D2"/>
    <w:rsid w:val="007D19CF"/>
    <w:rsid w:val="007D6342"/>
    <w:rsid w:val="007D6F38"/>
    <w:rsid w:val="007E00F0"/>
    <w:rsid w:val="007E0527"/>
    <w:rsid w:val="007E1C45"/>
    <w:rsid w:val="007E2A29"/>
    <w:rsid w:val="007E3EF8"/>
    <w:rsid w:val="007E6583"/>
    <w:rsid w:val="007E7279"/>
    <w:rsid w:val="007F31E4"/>
    <w:rsid w:val="007F393F"/>
    <w:rsid w:val="007F3F18"/>
    <w:rsid w:val="007F55EA"/>
    <w:rsid w:val="007F5DAF"/>
    <w:rsid w:val="007F6B68"/>
    <w:rsid w:val="0080139E"/>
    <w:rsid w:val="008044C0"/>
    <w:rsid w:val="0080472A"/>
    <w:rsid w:val="0080583F"/>
    <w:rsid w:val="0080677F"/>
    <w:rsid w:val="00810D05"/>
    <w:rsid w:val="008133C5"/>
    <w:rsid w:val="00816BD6"/>
    <w:rsid w:val="00824537"/>
    <w:rsid w:val="00825AD5"/>
    <w:rsid w:val="0082672A"/>
    <w:rsid w:val="008269EF"/>
    <w:rsid w:val="00827F74"/>
    <w:rsid w:val="008343E0"/>
    <w:rsid w:val="00834510"/>
    <w:rsid w:val="00836297"/>
    <w:rsid w:val="00843983"/>
    <w:rsid w:val="00845449"/>
    <w:rsid w:val="008465DF"/>
    <w:rsid w:val="00850C0B"/>
    <w:rsid w:val="00852973"/>
    <w:rsid w:val="0086028E"/>
    <w:rsid w:val="008606BF"/>
    <w:rsid w:val="00860859"/>
    <w:rsid w:val="008616F1"/>
    <w:rsid w:val="00862ABB"/>
    <w:rsid w:val="008669B8"/>
    <w:rsid w:val="008702AA"/>
    <w:rsid w:val="00873109"/>
    <w:rsid w:val="00875322"/>
    <w:rsid w:val="0087590F"/>
    <w:rsid w:val="0087746D"/>
    <w:rsid w:val="00877859"/>
    <w:rsid w:val="00880D1C"/>
    <w:rsid w:val="00880EA5"/>
    <w:rsid w:val="0088186E"/>
    <w:rsid w:val="00881ABF"/>
    <w:rsid w:val="00885264"/>
    <w:rsid w:val="0088592C"/>
    <w:rsid w:val="00886250"/>
    <w:rsid w:val="00893384"/>
    <w:rsid w:val="008944AC"/>
    <w:rsid w:val="00894590"/>
    <w:rsid w:val="00895C34"/>
    <w:rsid w:val="008965DE"/>
    <w:rsid w:val="0089722A"/>
    <w:rsid w:val="008A353E"/>
    <w:rsid w:val="008A4AB9"/>
    <w:rsid w:val="008A5028"/>
    <w:rsid w:val="008A5C6F"/>
    <w:rsid w:val="008B4810"/>
    <w:rsid w:val="008B4F6C"/>
    <w:rsid w:val="008B7E0C"/>
    <w:rsid w:val="008C26A6"/>
    <w:rsid w:val="008C2AFA"/>
    <w:rsid w:val="008C4175"/>
    <w:rsid w:val="008C64EE"/>
    <w:rsid w:val="008C677A"/>
    <w:rsid w:val="008D1A5A"/>
    <w:rsid w:val="008D3EC1"/>
    <w:rsid w:val="008D7FF6"/>
    <w:rsid w:val="008E1EAB"/>
    <w:rsid w:val="008E23CB"/>
    <w:rsid w:val="008E2F03"/>
    <w:rsid w:val="008E3DC0"/>
    <w:rsid w:val="008E5545"/>
    <w:rsid w:val="008E7F3B"/>
    <w:rsid w:val="008F5CFA"/>
    <w:rsid w:val="008F74C2"/>
    <w:rsid w:val="008F7C96"/>
    <w:rsid w:val="0090143A"/>
    <w:rsid w:val="00901B49"/>
    <w:rsid w:val="00901C6E"/>
    <w:rsid w:val="00903ACB"/>
    <w:rsid w:val="00904869"/>
    <w:rsid w:val="00907428"/>
    <w:rsid w:val="009078D4"/>
    <w:rsid w:val="00910294"/>
    <w:rsid w:val="00910736"/>
    <w:rsid w:val="00920376"/>
    <w:rsid w:val="00920934"/>
    <w:rsid w:val="0092320B"/>
    <w:rsid w:val="00924364"/>
    <w:rsid w:val="00924B41"/>
    <w:rsid w:val="009345E4"/>
    <w:rsid w:val="00935938"/>
    <w:rsid w:val="0094074F"/>
    <w:rsid w:val="00940C4B"/>
    <w:rsid w:val="00945429"/>
    <w:rsid w:val="009466A2"/>
    <w:rsid w:val="00953A25"/>
    <w:rsid w:val="00953CF9"/>
    <w:rsid w:val="00955653"/>
    <w:rsid w:val="00955B8B"/>
    <w:rsid w:val="00956FE0"/>
    <w:rsid w:val="00957944"/>
    <w:rsid w:val="00960AD6"/>
    <w:rsid w:val="00961CBB"/>
    <w:rsid w:val="009620F8"/>
    <w:rsid w:val="00963F4A"/>
    <w:rsid w:val="009643EC"/>
    <w:rsid w:val="00964432"/>
    <w:rsid w:val="00964616"/>
    <w:rsid w:val="00965125"/>
    <w:rsid w:val="00966479"/>
    <w:rsid w:val="00967CAE"/>
    <w:rsid w:val="00970060"/>
    <w:rsid w:val="009705B4"/>
    <w:rsid w:val="00971E44"/>
    <w:rsid w:val="00973BD8"/>
    <w:rsid w:val="00975686"/>
    <w:rsid w:val="00977C1F"/>
    <w:rsid w:val="00980503"/>
    <w:rsid w:val="009814BA"/>
    <w:rsid w:val="00982FFB"/>
    <w:rsid w:val="00984B46"/>
    <w:rsid w:val="00987FF9"/>
    <w:rsid w:val="00990075"/>
    <w:rsid w:val="009902A3"/>
    <w:rsid w:val="00991B61"/>
    <w:rsid w:val="00993A61"/>
    <w:rsid w:val="0099481A"/>
    <w:rsid w:val="0099576D"/>
    <w:rsid w:val="00995AD4"/>
    <w:rsid w:val="009A0C5C"/>
    <w:rsid w:val="009A1468"/>
    <w:rsid w:val="009B257B"/>
    <w:rsid w:val="009B5603"/>
    <w:rsid w:val="009C45FD"/>
    <w:rsid w:val="009C5581"/>
    <w:rsid w:val="009C58E7"/>
    <w:rsid w:val="009C6FC9"/>
    <w:rsid w:val="009D2783"/>
    <w:rsid w:val="009D637E"/>
    <w:rsid w:val="009D6A01"/>
    <w:rsid w:val="009E0CB9"/>
    <w:rsid w:val="009E227A"/>
    <w:rsid w:val="009E550C"/>
    <w:rsid w:val="009F237E"/>
    <w:rsid w:val="009F2E75"/>
    <w:rsid w:val="009F369C"/>
    <w:rsid w:val="009F7407"/>
    <w:rsid w:val="00A00BA9"/>
    <w:rsid w:val="00A00C9F"/>
    <w:rsid w:val="00A0113F"/>
    <w:rsid w:val="00A03B0F"/>
    <w:rsid w:val="00A0424D"/>
    <w:rsid w:val="00A051B8"/>
    <w:rsid w:val="00A05CC1"/>
    <w:rsid w:val="00A071F5"/>
    <w:rsid w:val="00A10396"/>
    <w:rsid w:val="00A1055E"/>
    <w:rsid w:val="00A112B5"/>
    <w:rsid w:val="00A14DD8"/>
    <w:rsid w:val="00A21357"/>
    <w:rsid w:val="00A22D96"/>
    <w:rsid w:val="00A301EA"/>
    <w:rsid w:val="00A30DBD"/>
    <w:rsid w:val="00A31283"/>
    <w:rsid w:val="00A31370"/>
    <w:rsid w:val="00A31A03"/>
    <w:rsid w:val="00A32894"/>
    <w:rsid w:val="00A32D03"/>
    <w:rsid w:val="00A40F29"/>
    <w:rsid w:val="00A4295F"/>
    <w:rsid w:val="00A43383"/>
    <w:rsid w:val="00A43D3D"/>
    <w:rsid w:val="00A43F84"/>
    <w:rsid w:val="00A442F0"/>
    <w:rsid w:val="00A4488B"/>
    <w:rsid w:val="00A458F5"/>
    <w:rsid w:val="00A46D67"/>
    <w:rsid w:val="00A53657"/>
    <w:rsid w:val="00A5525B"/>
    <w:rsid w:val="00A5690B"/>
    <w:rsid w:val="00A60506"/>
    <w:rsid w:val="00A61892"/>
    <w:rsid w:val="00A66236"/>
    <w:rsid w:val="00A73EB7"/>
    <w:rsid w:val="00A75F93"/>
    <w:rsid w:val="00A7716E"/>
    <w:rsid w:val="00A806FF"/>
    <w:rsid w:val="00A827A3"/>
    <w:rsid w:val="00A83C7A"/>
    <w:rsid w:val="00A84DB6"/>
    <w:rsid w:val="00A85A46"/>
    <w:rsid w:val="00A870A2"/>
    <w:rsid w:val="00A870EB"/>
    <w:rsid w:val="00A91DFD"/>
    <w:rsid w:val="00A91EC8"/>
    <w:rsid w:val="00A945A7"/>
    <w:rsid w:val="00A949DA"/>
    <w:rsid w:val="00A96E88"/>
    <w:rsid w:val="00A977E8"/>
    <w:rsid w:val="00AA27D5"/>
    <w:rsid w:val="00AA619D"/>
    <w:rsid w:val="00AB51ED"/>
    <w:rsid w:val="00AB6A74"/>
    <w:rsid w:val="00AC0CCC"/>
    <w:rsid w:val="00AC1A0F"/>
    <w:rsid w:val="00AC2646"/>
    <w:rsid w:val="00AC3632"/>
    <w:rsid w:val="00AC6B32"/>
    <w:rsid w:val="00AC6B51"/>
    <w:rsid w:val="00AD2759"/>
    <w:rsid w:val="00AD3749"/>
    <w:rsid w:val="00AD6C93"/>
    <w:rsid w:val="00AE0364"/>
    <w:rsid w:val="00AE0B36"/>
    <w:rsid w:val="00AE3833"/>
    <w:rsid w:val="00AE40D0"/>
    <w:rsid w:val="00AE43E1"/>
    <w:rsid w:val="00AE4F9A"/>
    <w:rsid w:val="00AE6117"/>
    <w:rsid w:val="00AF0638"/>
    <w:rsid w:val="00AF19DC"/>
    <w:rsid w:val="00AF1FCA"/>
    <w:rsid w:val="00AF66F9"/>
    <w:rsid w:val="00AF7056"/>
    <w:rsid w:val="00AF7804"/>
    <w:rsid w:val="00B00F97"/>
    <w:rsid w:val="00B01023"/>
    <w:rsid w:val="00B0309F"/>
    <w:rsid w:val="00B03FA0"/>
    <w:rsid w:val="00B04138"/>
    <w:rsid w:val="00B07A95"/>
    <w:rsid w:val="00B12C56"/>
    <w:rsid w:val="00B12EBF"/>
    <w:rsid w:val="00B1398C"/>
    <w:rsid w:val="00B1469B"/>
    <w:rsid w:val="00B14D9C"/>
    <w:rsid w:val="00B15259"/>
    <w:rsid w:val="00B154AE"/>
    <w:rsid w:val="00B165BE"/>
    <w:rsid w:val="00B20FB2"/>
    <w:rsid w:val="00B21AB0"/>
    <w:rsid w:val="00B228E9"/>
    <w:rsid w:val="00B2366A"/>
    <w:rsid w:val="00B23ABF"/>
    <w:rsid w:val="00B23D9D"/>
    <w:rsid w:val="00B2477D"/>
    <w:rsid w:val="00B259EE"/>
    <w:rsid w:val="00B27715"/>
    <w:rsid w:val="00B27813"/>
    <w:rsid w:val="00B33ADA"/>
    <w:rsid w:val="00B360E0"/>
    <w:rsid w:val="00B37918"/>
    <w:rsid w:val="00B450E9"/>
    <w:rsid w:val="00B52C7D"/>
    <w:rsid w:val="00B56E7B"/>
    <w:rsid w:val="00B605A5"/>
    <w:rsid w:val="00B67073"/>
    <w:rsid w:val="00B67B33"/>
    <w:rsid w:val="00B67E9C"/>
    <w:rsid w:val="00B73FB3"/>
    <w:rsid w:val="00B77D2D"/>
    <w:rsid w:val="00B818CF"/>
    <w:rsid w:val="00B82010"/>
    <w:rsid w:val="00B822BA"/>
    <w:rsid w:val="00B826D1"/>
    <w:rsid w:val="00B826F8"/>
    <w:rsid w:val="00B83117"/>
    <w:rsid w:val="00B84275"/>
    <w:rsid w:val="00B85842"/>
    <w:rsid w:val="00B85DB4"/>
    <w:rsid w:val="00B86FD8"/>
    <w:rsid w:val="00B9038F"/>
    <w:rsid w:val="00B906FA"/>
    <w:rsid w:val="00B909CD"/>
    <w:rsid w:val="00B91A4A"/>
    <w:rsid w:val="00B92C34"/>
    <w:rsid w:val="00B935EC"/>
    <w:rsid w:val="00B968E3"/>
    <w:rsid w:val="00B97BAE"/>
    <w:rsid w:val="00BA22CD"/>
    <w:rsid w:val="00BA3E7C"/>
    <w:rsid w:val="00BA6BC0"/>
    <w:rsid w:val="00BA7AA0"/>
    <w:rsid w:val="00BB15DE"/>
    <w:rsid w:val="00BB1684"/>
    <w:rsid w:val="00BB1E89"/>
    <w:rsid w:val="00BB2EA0"/>
    <w:rsid w:val="00BB41A0"/>
    <w:rsid w:val="00BB5091"/>
    <w:rsid w:val="00BB7A3F"/>
    <w:rsid w:val="00BD150D"/>
    <w:rsid w:val="00BD1A48"/>
    <w:rsid w:val="00BD36B8"/>
    <w:rsid w:val="00BD450C"/>
    <w:rsid w:val="00BD49AB"/>
    <w:rsid w:val="00BD6AFD"/>
    <w:rsid w:val="00BE0192"/>
    <w:rsid w:val="00BE0A03"/>
    <w:rsid w:val="00BE26FA"/>
    <w:rsid w:val="00BE33F1"/>
    <w:rsid w:val="00BE5B08"/>
    <w:rsid w:val="00BE6CB4"/>
    <w:rsid w:val="00BE7B8B"/>
    <w:rsid w:val="00BF018D"/>
    <w:rsid w:val="00BF02BF"/>
    <w:rsid w:val="00BF101F"/>
    <w:rsid w:val="00BF33AC"/>
    <w:rsid w:val="00C014D0"/>
    <w:rsid w:val="00C01E54"/>
    <w:rsid w:val="00C051ED"/>
    <w:rsid w:val="00C05686"/>
    <w:rsid w:val="00C0643B"/>
    <w:rsid w:val="00C06690"/>
    <w:rsid w:val="00C17B1E"/>
    <w:rsid w:val="00C20C37"/>
    <w:rsid w:val="00C21612"/>
    <w:rsid w:val="00C2435F"/>
    <w:rsid w:val="00C266CA"/>
    <w:rsid w:val="00C26C1E"/>
    <w:rsid w:val="00C37D05"/>
    <w:rsid w:val="00C37F94"/>
    <w:rsid w:val="00C40B9C"/>
    <w:rsid w:val="00C42D64"/>
    <w:rsid w:val="00C44145"/>
    <w:rsid w:val="00C5109A"/>
    <w:rsid w:val="00C52EFA"/>
    <w:rsid w:val="00C53557"/>
    <w:rsid w:val="00C5493A"/>
    <w:rsid w:val="00C60144"/>
    <w:rsid w:val="00C6068E"/>
    <w:rsid w:val="00C611C9"/>
    <w:rsid w:val="00C63BD8"/>
    <w:rsid w:val="00C67447"/>
    <w:rsid w:val="00C67B79"/>
    <w:rsid w:val="00C71C30"/>
    <w:rsid w:val="00C72183"/>
    <w:rsid w:val="00C83841"/>
    <w:rsid w:val="00C849F0"/>
    <w:rsid w:val="00C86090"/>
    <w:rsid w:val="00C867F6"/>
    <w:rsid w:val="00C87432"/>
    <w:rsid w:val="00C90814"/>
    <w:rsid w:val="00C9135A"/>
    <w:rsid w:val="00C928E6"/>
    <w:rsid w:val="00C97120"/>
    <w:rsid w:val="00C975E9"/>
    <w:rsid w:val="00CA3085"/>
    <w:rsid w:val="00CA3A08"/>
    <w:rsid w:val="00CB014C"/>
    <w:rsid w:val="00CB1079"/>
    <w:rsid w:val="00CB5451"/>
    <w:rsid w:val="00CC0FC4"/>
    <w:rsid w:val="00CC2254"/>
    <w:rsid w:val="00CC2275"/>
    <w:rsid w:val="00CC24D8"/>
    <w:rsid w:val="00CC58B1"/>
    <w:rsid w:val="00CC7A58"/>
    <w:rsid w:val="00CD171C"/>
    <w:rsid w:val="00CD37CF"/>
    <w:rsid w:val="00CD3B95"/>
    <w:rsid w:val="00CD5ABD"/>
    <w:rsid w:val="00CE0564"/>
    <w:rsid w:val="00CE0E9D"/>
    <w:rsid w:val="00CE3B49"/>
    <w:rsid w:val="00CE3CFF"/>
    <w:rsid w:val="00CF0793"/>
    <w:rsid w:val="00CF1FBA"/>
    <w:rsid w:val="00CF75ED"/>
    <w:rsid w:val="00CF77BD"/>
    <w:rsid w:val="00D007C5"/>
    <w:rsid w:val="00D0080F"/>
    <w:rsid w:val="00D02D1F"/>
    <w:rsid w:val="00D03145"/>
    <w:rsid w:val="00D03A68"/>
    <w:rsid w:val="00D043AE"/>
    <w:rsid w:val="00D04CA5"/>
    <w:rsid w:val="00D107D7"/>
    <w:rsid w:val="00D10AEC"/>
    <w:rsid w:val="00D11E39"/>
    <w:rsid w:val="00D12D5B"/>
    <w:rsid w:val="00D16764"/>
    <w:rsid w:val="00D173E0"/>
    <w:rsid w:val="00D21235"/>
    <w:rsid w:val="00D21734"/>
    <w:rsid w:val="00D227EF"/>
    <w:rsid w:val="00D22A19"/>
    <w:rsid w:val="00D26BFE"/>
    <w:rsid w:val="00D27B6D"/>
    <w:rsid w:val="00D306DA"/>
    <w:rsid w:val="00D30ABC"/>
    <w:rsid w:val="00D30EA1"/>
    <w:rsid w:val="00D31193"/>
    <w:rsid w:val="00D36982"/>
    <w:rsid w:val="00D40F9A"/>
    <w:rsid w:val="00D43973"/>
    <w:rsid w:val="00D50293"/>
    <w:rsid w:val="00D50A42"/>
    <w:rsid w:val="00D54639"/>
    <w:rsid w:val="00D5649E"/>
    <w:rsid w:val="00D60176"/>
    <w:rsid w:val="00D65C0D"/>
    <w:rsid w:val="00D67555"/>
    <w:rsid w:val="00D707D7"/>
    <w:rsid w:val="00D74A24"/>
    <w:rsid w:val="00D75B2C"/>
    <w:rsid w:val="00D76A1B"/>
    <w:rsid w:val="00D8288B"/>
    <w:rsid w:val="00D82A1A"/>
    <w:rsid w:val="00D85389"/>
    <w:rsid w:val="00D874FE"/>
    <w:rsid w:val="00D9168D"/>
    <w:rsid w:val="00D94A66"/>
    <w:rsid w:val="00D966BB"/>
    <w:rsid w:val="00DA020D"/>
    <w:rsid w:val="00DA0919"/>
    <w:rsid w:val="00DA3A42"/>
    <w:rsid w:val="00DA458A"/>
    <w:rsid w:val="00DA4C92"/>
    <w:rsid w:val="00DA4F37"/>
    <w:rsid w:val="00DA572F"/>
    <w:rsid w:val="00DB0AF9"/>
    <w:rsid w:val="00DB1108"/>
    <w:rsid w:val="00DB20BC"/>
    <w:rsid w:val="00DB4EB4"/>
    <w:rsid w:val="00DB5926"/>
    <w:rsid w:val="00DB6C0B"/>
    <w:rsid w:val="00DB7F10"/>
    <w:rsid w:val="00DC3E00"/>
    <w:rsid w:val="00DC44F9"/>
    <w:rsid w:val="00DC46C0"/>
    <w:rsid w:val="00DC4E19"/>
    <w:rsid w:val="00DC7650"/>
    <w:rsid w:val="00DD0AEF"/>
    <w:rsid w:val="00DD3C24"/>
    <w:rsid w:val="00DD6693"/>
    <w:rsid w:val="00DE68D7"/>
    <w:rsid w:val="00DE73A7"/>
    <w:rsid w:val="00DF191D"/>
    <w:rsid w:val="00DF253B"/>
    <w:rsid w:val="00DF383D"/>
    <w:rsid w:val="00E008DF"/>
    <w:rsid w:val="00E02F7F"/>
    <w:rsid w:val="00E1225B"/>
    <w:rsid w:val="00E13D0C"/>
    <w:rsid w:val="00E14B2E"/>
    <w:rsid w:val="00E1565F"/>
    <w:rsid w:val="00E17B81"/>
    <w:rsid w:val="00E20233"/>
    <w:rsid w:val="00E20C5C"/>
    <w:rsid w:val="00E210B9"/>
    <w:rsid w:val="00E2162C"/>
    <w:rsid w:val="00E23914"/>
    <w:rsid w:val="00E307EC"/>
    <w:rsid w:val="00E31940"/>
    <w:rsid w:val="00E3242A"/>
    <w:rsid w:val="00E3264F"/>
    <w:rsid w:val="00E33E9D"/>
    <w:rsid w:val="00E36FDF"/>
    <w:rsid w:val="00E37AF6"/>
    <w:rsid w:val="00E41836"/>
    <w:rsid w:val="00E41980"/>
    <w:rsid w:val="00E42401"/>
    <w:rsid w:val="00E469AD"/>
    <w:rsid w:val="00E47611"/>
    <w:rsid w:val="00E5213F"/>
    <w:rsid w:val="00E522DF"/>
    <w:rsid w:val="00E53692"/>
    <w:rsid w:val="00E55FCA"/>
    <w:rsid w:val="00E568EE"/>
    <w:rsid w:val="00E56BAF"/>
    <w:rsid w:val="00E65EED"/>
    <w:rsid w:val="00E72CFE"/>
    <w:rsid w:val="00E72F46"/>
    <w:rsid w:val="00E73A44"/>
    <w:rsid w:val="00E755F4"/>
    <w:rsid w:val="00E772FC"/>
    <w:rsid w:val="00E77C2B"/>
    <w:rsid w:val="00E80069"/>
    <w:rsid w:val="00E8044F"/>
    <w:rsid w:val="00E815DA"/>
    <w:rsid w:val="00E82453"/>
    <w:rsid w:val="00E82C5D"/>
    <w:rsid w:val="00E83E2C"/>
    <w:rsid w:val="00E85105"/>
    <w:rsid w:val="00E85CB2"/>
    <w:rsid w:val="00E87ABB"/>
    <w:rsid w:val="00E87FE4"/>
    <w:rsid w:val="00E905C6"/>
    <w:rsid w:val="00E91B78"/>
    <w:rsid w:val="00E93AF4"/>
    <w:rsid w:val="00E93B67"/>
    <w:rsid w:val="00E96B9A"/>
    <w:rsid w:val="00E97102"/>
    <w:rsid w:val="00EA06C1"/>
    <w:rsid w:val="00EA1CA2"/>
    <w:rsid w:val="00EA3BF6"/>
    <w:rsid w:val="00EA44E9"/>
    <w:rsid w:val="00EA5A23"/>
    <w:rsid w:val="00EB00C4"/>
    <w:rsid w:val="00EB0D88"/>
    <w:rsid w:val="00EB2349"/>
    <w:rsid w:val="00EB2C66"/>
    <w:rsid w:val="00EB2CDE"/>
    <w:rsid w:val="00EB37E8"/>
    <w:rsid w:val="00EB6B42"/>
    <w:rsid w:val="00EB7FBC"/>
    <w:rsid w:val="00EC11AE"/>
    <w:rsid w:val="00EC1795"/>
    <w:rsid w:val="00EC24EB"/>
    <w:rsid w:val="00EC4C11"/>
    <w:rsid w:val="00EC63A2"/>
    <w:rsid w:val="00ED186C"/>
    <w:rsid w:val="00ED1D98"/>
    <w:rsid w:val="00ED2ACC"/>
    <w:rsid w:val="00ED52CB"/>
    <w:rsid w:val="00EE1F68"/>
    <w:rsid w:val="00EE2B05"/>
    <w:rsid w:val="00EE386E"/>
    <w:rsid w:val="00EE4B08"/>
    <w:rsid w:val="00EF05B5"/>
    <w:rsid w:val="00EF1DD6"/>
    <w:rsid w:val="00EF22BD"/>
    <w:rsid w:val="00EF58A6"/>
    <w:rsid w:val="00EF58AC"/>
    <w:rsid w:val="00EF6A7B"/>
    <w:rsid w:val="00EF78E0"/>
    <w:rsid w:val="00F01394"/>
    <w:rsid w:val="00F01C0C"/>
    <w:rsid w:val="00F01D31"/>
    <w:rsid w:val="00F06E7B"/>
    <w:rsid w:val="00F103FE"/>
    <w:rsid w:val="00F10E7F"/>
    <w:rsid w:val="00F13DD5"/>
    <w:rsid w:val="00F14C9E"/>
    <w:rsid w:val="00F17472"/>
    <w:rsid w:val="00F21D51"/>
    <w:rsid w:val="00F22B1F"/>
    <w:rsid w:val="00F23AF3"/>
    <w:rsid w:val="00F23FA0"/>
    <w:rsid w:val="00F24ABD"/>
    <w:rsid w:val="00F30786"/>
    <w:rsid w:val="00F3583E"/>
    <w:rsid w:val="00F411AC"/>
    <w:rsid w:val="00F434D4"/>
    <w:rsid w:val="00F443F7"/>
    <w:rsid w:val="00F44AA9"/>
    <w:rsid w:val="00F46A9C"/>
    <w:rsid w:val="00F51CE8"/>
    <w:rsid w:val="00F53124"/>
    <w:rsid w:val="00F54ADC"/>
    <w:rsid w:val="00F54B5E"/>
    <w:rsid w:val="00F56913"/>
    <w:rsid w:val="00F57767"/>
    <w:rsid w:val="00F60318"/>
    <w:rsid w:val="00F62986"/>
    <w:rsid w:val="00F63B06"/>
    <w:rsid w:val="00F63B80"/>
    <w:rsid w:val="00F63D43"/>
    <w:rsid w:val="00F64BC0"/>
    <w:rsid w:val="00F64CEA"/>
    <w:rsid w:val="00F66DFE"/>
    <w:rsid w:val="00F708F1"/>
    <w:rsid w:val="00F715AC"/>
    <w:rsid w:val="00F760D8"/>
    <w:rsid w:val="00F761DA"/>
    <w:rsid w:val="00F775CB"/>
    <w:rsid w:val="00F80004"/>
    <w:rsid w:val="00F81469"/>
    <w:rsid w:val="00F81B71"/>
    <w:rsid w:val="00F829AE"/>
    <w:rsid w:val="00F83FA4"/>
    <w:rsid w:val="00F869D4"/>
    <w:rsid w:val="00F86AF5"/>
    <w:rsid w:val="00F90178"/>
    <w:rsid w:val="00F90897"/>
    <w:rsid w:val="00F9099E"/>
    <w:rsid w:val="00F91A00"/>
    <w:rsid w:val="00F92293"/>
    <w:rsid w:val="00F92638"/>
    <w:rsid w:val="00F94F22"/>
    <w:rsid w:val="00F973FC"/>
    <w:rsid w:val="00FA18D5"/>
    <w:rsid w:val="00FA302D"/>
    <w:rsid w:val="00FA3966"/>
    <w:rsid w:val="00FA5336"/>
    <w:rsid w:val="00FA71C0"/>
    <w:rsid w:val="00FA780A"/>
    <w:rsid w:val="00FB0F2D"/>
    <w:rsid w:val="00FB34CA"/>
    <w:rsid w:val="00FB57A2"/>
    <w:rsid w:val="00FB6415"/>
    <w:rsid w:val="00FB7A91"/>
    <w:rsid w:val="00FC03E5"/>
    <w:rsid w:val="00FC04F8"/>
    <w:rsid w:val="00FC0BFA"/>
    <w:rsid w:val="00FC202C"/>
    <w:rsid w:val="00FC2033"/>
    <w:rsid w:val="00FC5E35"/>
    <w:rsid w:val="00FD194B"/>
    <w:rsid w:val="00FD21D0"/>
    <w:rsid w:val="00FD6463"/>
    <w:rsid w:val="00FD74E1"/>
    <w:rsid w:val="00FE0234"/>
    <w:rsid w:val="00FE0D57"/>
    <w:rsid w:val="00FE4787"/>
    <w:rsid w:val="00FE510C"/>
    <w:rsid w:val="00FE6E77"/>
    <w:rsid w:val="00FF0281"/>
    <w:rsid w:val="00FF0A0D"/>
    <w:rsid w:val="00FF165B"/>
    <w:rsid w:val="00FF2886"/>
    <w:rsid w:val="00FF6FB2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92C34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B257B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4A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AB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B72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72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720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720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FChar">
    <w:name w:val="TF Char"/>
    <w:link w:val="TF"/>
    <w:locked/>
    <w:rsid w:val="001B0F4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1B0F44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 w:val="22"/>
      <w:szCs w:val="22"/>
      <w:lang w:eastAsia="en-GB"/>
    </w:rPr>
  </w:style>
  <w:style w:type="character" w:customStyle="1" w:styleId="TACChar">
    <w:name w:val="TAC Char"/>
    <w:link w:val="TAC"/>
    <w:locked/>
    <w:rsid w:val="00BE5B08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BE5B0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sz w:val="18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48F79-4549-49E7-806D-E5C3EB6B8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2691</TotalTime>
  <Pages>3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 - Peng Cheng</cp:lastModifiedBy>
  <cp:revision>1034</cp:revision>
  <dcterms:created xsi:type="dcterms:W3CDTF">2019-02-01T01:43:00Z</dcterms:created>
  <dcterms:modified xsi:type="dcterms:W3CDTF">2020-04-09T08:35:00Z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